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Project Sunrise</w:t>
      </w:r>
    </w:p>
    <w:p>
      <w:pPr>
        <w:spacing w:after="120"/>
        <w:rPr>
          <w:color w:val="606366"/>
          <w:sz w:val="26"/>
          <w:szCs w:val="26"/>
        </w:rPr>
      </w:pPr>
      <w:r>
        <w:rPr>
          <w:color w:val="606366"/>
          <w:sz w:val="26"/>
          <w:szCs w:val="26"/>
        </w:rPr>
        <w:t xml:space="preserve">A second Aurora café on the Korenmarkt, Ghent — proposal for the board</w:t>
      </w:r>
    </w:p>
    <w:p>
      <w:pPr>
        <w:pBdr>
          <w:bottom w:val="single" w:color="E3E6EA" w:sz="6" w:space="8"/>
        </w:pBdr>
        <w:spacing w:after="240"/>
      </w:pPr>
      <w:r>
        <w:rPr>
          <w:color w:val="606366"/>
        </w:rPr>
        <w:t xml:space="preserve">Prepared by </w:t>
      </w:r>
      <w:r>
        <w:rPr>
          <w:b/>
          <w:bCs/>
        </w:rPr>
        <w:t xml:space="preserve">Lena Verhoeven</w:t>
      </w:r>
      <w:r>
        <w:rPr>
          <w:color w:val="606366"/>
        </w:rPr>
        <w:t xml:space="preserve"> · 12 October 2026 · Version 1.2</w:t>
      </w:r>
    </w:p>
    <w:p>
      <w:pPr>
        <w:pStyle w:val="Heading1"/>
      </w:pPr>
      <w:r>
        <w:t xml:space="preserve">Summary</w:t>
      </w:r>
    </w:p>
    <w:p>
      <w:pPr>
        <w:spacing w:after="120"/>
      </w:pPr>
      <w:r>
        <w:t xml:space="preserve">Our Vrijdagmarkt café has run at full capacity on weekends for eighteen months. We propose opening a second, larger café of 80 seats on the Korenmarkt in </w:t>
      </w:r>
      <w:r>
        <w:rPr>
          <w:b/>
          <w:bCs/>
        </w:rPr>
        <w:t xml:space="preserve">May 2027</w:t>
      </w:r>
      <w:r>
        <w:t xml:space="preserve">, with an investment of </w:t>
      </w:r>
      <w:r>
        <w:rPr>
          <w:b/>
          <w:bCs/>
        </w:rPr>
        <w:t xml:space="preserve">€ 122,650</w:t>
      </w:r>
      <w:r>
        <w:t xml:space="preserve"> and a break-even point in month 14.</w:t>
      </w:r>
    </w:p>
    <w:p>
      <w:pPr>
        <w:pStyle w:val="Heading1"/>
      </w:pPr>
      <w:r>
        <w:t xml:space="preserve">Why now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Weekend queues average 22 minutes; we turn away an estimated 300 guests a week.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Wholesale roasting volume grew 38 % this year, so the new café doubles as a tasting room.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Korenmarkt lease is available at € 4,200 a month, 9 % below comparable units.</w:t>
      </w:r>
    </w:p>
    <w:p>
      <w:pPr>
        <w:pStyle w:val="Heading1"/>
      </w:pPr>
      <w:r>
        <w:t xml:space="preserve">The plan</w:t>
      </w:r>
    </w:p>
    <w:p>
      <w:pPr>
        <w:pStyle w:val="Heading2"/>
      </w:pPr>
      <w:r>
        <w:t xml:space="preserve">Location and format</w:t>
      </w:r>
    </w:p>
    <w:p>
      <w:pPr>
        <w:spacing w:after="120"/>
      </w:pPr>
      <w:r>
        <w:t xml:space="preserve">A ground-floor unit of 160 m² with a terrace for 24. The front third is a fast counter for take-away; the back is a seated café with a visible roaster and a small retail wall for beans and brewing gear.</w:t>
      </w:r>
    </w:p>
    <w:p>
      <w:pPr>
        <w:pStyle w:val="Heading2"/>
      </w:pPr>
      <w:r>
        <w:t xml:space="preserve">Timeline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Sign the lease and order the espresso machine (January 2027).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Fit-out, permits and hiring (February to April 2027).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Soft opening for regulars and neighbours (late April 2027).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Public opening (1 May 2027).</w:t>
      </w:r>
    </w:p>
    <w:p>
      <w:pPr>
        <w:pStyle w:val="Heading1"/>
      </w:pPr>
      <w:r>
        <w:t xml:space="preserve">Budget</w:t>
      </w:r>
    </w:p>
    <w:p>
      <w:pPr>
        <w:spacing w:after="120"/>
      </w:pPr>
      <w:r>
        <w:t xml:space="preserve">Opening investment by quarter. Running costs are in the Project Sunrise Budget workbook.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12"/>
        <w:gridCol w:w="2000"/>
        <w:gridCol w:w="2000"/>
        <w:gridCol w:w="2000"/>
      </w:tblGrid>
      <w:tr>
        <w:trPr>
          <w:tblHeader/>
        </w:trPr>
        <w:tc>
          <w:tcPr>
            <w:tcW w:type="dxa" w:w="3412"/>
            <w:tcBorders>
              <w:top w:val="single" w:color="E3E6EA" w:sz="4"/>
              <w:left w:val="single" w:color="E3E6EA" w:sz="4"/>
              <w:bottom w:val="single" w:color="E3E6EA" w:sz="4"/>
              <w:right w:val="single" w:color="E3E6EA" w:sz="4"/>
            </w:tcBorders>
            <w:shd w:fill="FFF1E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C95F0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E3E6EA" w:sz="4"/>
              <w:left w:val="single" w:color="E3E6EA" w:sz="4"/>
              <w:bottom w:val="single" w:color="E3E6EA" w:sz="4"/>
              <w:right w:val="single" w:color="E3E6EA" w:sz="4"/>
            </w:tcBorders>
            <w:shd w:fill="FFF1E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C95F00"/>
              </w:rPr>
              <w:t xml:space="preserve">Q1 2027</w:t>
            </w:r>
          </w:p>
        </w:tc>
        <w:tc>
          <w:tcPr>
            <w:tcW w:type="dxa" w:w="2000"/>
            <w:tcBorders>
              <w:top w:val="single" w:color="E3E6EA" w:sz="4"/>
              <w:left w:val="single" w:color="E3E6EA" w:sz="4"/>
              <w:bottom w:val="single" w:color="E3E6EA" w:sz="4"/>
              <w:right w:val="single" w:color="E3E6EA" w:sz="4"/>
            </w:tcBorders>
            <w:shd w:fill="FFF1E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C95F00"/>
              </w:rPr>
              <w:t xml:space="preserve">Q2 2027</w:t>
            </w:r>
          </w:p>
        </w:tc>
        <w:tc>
          <w:tcPr>
            <w:tcW w:type="dxa" w:w="2000"/>
            <w:tcBorders>
              <w:top w:val="single" w:color="E3E6EA" w:sz="4"/>
              <w:left w:val="single" w:color="E3E6EA" w:sz="4"/>
              <w:bottom w:val="single" w:color="E3E6EA" w:sz="4"/>
              <w:right w:val="single" w:color="E3E6EA" w:sz="4"/>
            </w:tcBorders>
            <w:shd w:fill="FFF1E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C95F00"/>
              </w:rPr>
              <w:t xml:space="preserve">Total</w:t>
            </w:r>
          </w:p>
        </w:tc>
      </w:tr>
      <w:tr>
        <w:tc>
          <w:tcPr>
            <w:tcW w:type="dxa" w:w="3412"/>
            <w:tcBorders>
              <w:top w:val="single" w:color="E3E6EA" w:sz="4"/>
              <w:left w:val="single" w:color="E3E6EA" w:sz="4"/>
              <w:bottom w:val="single" w:color="E3E6EA" w:sz="4"/>
              <w:right w:val="single" w:color="E3E6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32425"/>
              </w:rPr>
              <w:t xml:space="preserve">Fit-out and furniture</w:t>
            </w:r>
          </w:p>
        </w:tc>
        <w:tc>
          <w:tcPr>
            <w:tcW w:type="dxa" w:w="2000"/>
            <w:tcBorders>
              <w:top w:val="single" w:color="E3E6EA" w:sz="4"/>
              <w:left w:val="single" w:color="E3E6EA" w:sz="4"/>
              <w:bottom w:val="single" w:color="E3E6EA" w:sz="4"/>
              <w:right w:val="single" w:color="E3E6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32425"/>
              </w:rPr>
              <w:t xml:space="preserve">€ 48,000</w:t>
            </w:r>
          </w:p>
        </w:tc>
        <w:tc>
          <w:tcPr>
            <w:tcW w:type="dxa" w:w="2000"/>
            <w:tcBorders>
              <w:top w:val="single" w:color="E3E6EA" w:sz="4"/>
              <w:left w:val="single" w:color="E3E6EA" w:sz="4"/>
              <w:bottom w:val="single" w:color="E3E6EA" w:sz="4"/>
              <w:right w:val="single" w:color="E3E6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32425"/>
              </w:rPr>
              <w:t xml:space="preserve">€ 6,000</w:t>
            </w:r>
          </w:p>
        </w:tc>
        <w:tc>
          <w:tcPr>
            <w:tcW w:type="dxa" w:w="2000"/>
            <w:tcBorders>
              <w:top w:val="single" w:color="E3E6EA" w:sz="4"/>
              <w:left w:val="single" w:color="E3E6EA" w:sz="4"/>
              <w:bottom w:val="single" w:color="E3E6EA" w:sz="4"/>
              <w:right w:val="single" w:color="E3E6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32425"/>
              </w:rPr>
              <w:t xml:space="preserve">€ 54,000</w:t>
            </w:r>
          </w:p>
        </w:tc>
      </w:tr>
      <w:tr>
        <w:tc>
          <w:tcPr>
            <w:tcW w:type="dxa" w:w="3412"/>
            <w:tcBorders>
              <w:top w:val="single" w:color="E3E6EA" w:sz="4"/>
              <w:left w:val="single" w:color="E3E6EA" w:sz="4"/>
              <w:bottom w:val="single" w:color="E3E6EA" w:sz="4"/>
              <w:right w:val="single" w:color="E3E6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32425"/>
              </w:rPr>
              <w:t xml:space="preserve">Espresso machine and grinders</w:t>
            </w:r>
          </w:p>
        </w:tc>
        <w:tc>
          <w:tcPr>
            <w:tcW w:type="dxa" w:w="2000"/>
            <w:tcBorders>
              <w:top w:val="single" w:color="E3E6EA" w:sz="4"/>
              <w:left w:val="single" w:color="E3E6EA" w:sz="4"/>
              <w:bottom w:val="single" w:color="E3E6EA" w:sz="4"/>
              <w:right w:val="single" w:color="E3E6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32425"/>
              </w:rPr>
              <w:t xml:space="preserve">€ 22,500</w:t>
            </w:r>
          </w:p>
        </w:tc>
        <w:tc>
          <w:tcPr>
            <w:tcW w:type="dxa" w:w="2000"/>
            <w:tcBorders>
              <w:top w:val="single" w:color="E3E6EA" w:sz="4"/>
              <w:left w:val="single" w:color="E3E6EA" w:sz="4"/>
              <w:bottom w:val="single" w:color="E3E6EA" w:sz="4"/>
              <w:right w:val="single" w:color="E3E6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32425"/>
              </w:rPr>
              <w:t xml:space="preserve">–</w:t>
            </w:r>
          </w:p>
        </w:tc>
        <w:tc>
          <w:tcPr>
            <w:tcW w:type="dxa" w:w="2000"/>
            <w:tcBorders>
              <w:top w:val="single" w:color="E3E6EA" w:sz="4"/>
              <w:left w:val="single" w:color="E3E6EA" w:sz="4"/>
              <w:bottom w:val="single" w:color="E3E6EA" w:sz="4"/>
              <w:right w:val="single" w:color="E3E6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32425"/>
              </w:rPr>
              <w:t xml:space="preserve">€ 22,500</w:t>
            </w:r>
          </w:p>
        </w:tc>
      </w:tr>
      <w:tr>
        <w:tc>
          <w:tcPr>
            <w:tcW w:type="dxa" w:w="3412"/>
            <w:tcBorders>
              <w:top w:val="single" w:color="E3E6EA" w:sz="4"/>
              <w:left w:val="single" w:color="E3E6EA" w:sz="4"/>
              <w:bottom w:val="single" w:color="E3E6EA" w:sz="4"/>
              <w:right w:val="single" w:color="E3E6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32425"/>
              </w:rPr>
              <w:t xml:space="preserve">Staff hiring and training</w:t>
            </w:r>
          </w:p>
        </w:tc>
        <w:tc>
          <w:tcPr>
            <w:tcW w:type="dxa" w:w="2000"/>
            <w:tcBorders>
              <w:top w:val="single" w:color="E3E6EA" w:sz="4"/>
              <w:left w:val="single" w:color="E3E6EA" w:sz="4"/>
              <w:bottom w:val="single" w:color="E3E6EA" w:sz="4"/>
              <w:right w:val="single" w:color="E3E6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32425"/>
              </w:rPr>
              <w:t xml:space="preserve">€ 9,000</w:t>
            </w:r>
          </w:p>
        </w:tc>
        <w:tc>
          <w:tcPr>
            <w:tcW w:type="dxa" w:w="2000"/>
            <w:tcBorders>
              <w:top w:val="single" w:color="E3E6EA" w:sz="4"/>
              <w:left w:val="single" w:color="E3E6EA" w:sz="4"/>
              <w:bottom w:val="single" w:color="E3E6EA" w:sz="4"/>
              <w:right w:val="single" w:color="E3E6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32425"/>
              </w:rPr>
              <w:t xml:space="preserve">€ 14,000</w:t>
            </w:r>
          </w:p>
        </w:tc>
        <w:tc>
          <w:tcPr>
            <w:tcW w:type="dxa" w:w="2000"/>
            <w:tcBorders>
              <w:top w:val="single" w:color="E3E6EA" w:sz="4"/>
              <w:left w:val="single" w:color="E3E6EA" w:sz="4"/>
              <w:bottom w:val="single" w:color="E3E6EA" w:sz="4"/>
              <w:right w:val="single" w:color="E3E6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32425"/>
              </w:rPr>
              <w:t xml:space="preserve">€ 23,000</w:t>
            </w:r>
          </w:p>
        </w:tc>
      </w:tr>
      <w:tr>
        <w:tc>
          <w:tcPr>
            <w:tcW w:type="dxa" w:w="3412"/>
            <w:tcBorders>
              <w:top w:val="single" w:color="E3E6EA" w:sz="4"/>
              <w:left w:val="single" w:color="E3E6EA" w:sz="4"/>
              <w:bottom w:val="single" w:color="E3E6EA" w:sz="4"/>
              <w:right w:val="single" w:color="E3E6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32425"/>
              </w:rPr>
              <w:t xml:space="preserve">Opening marketing</w:t>
            </w:r>
          </w:p>
        </w:tc>
        <w:tc>
          <w:tcPr>
            <w:tcW w:type="dxa" w:w="2000"/>
            <w:tcBorders>
              <w:top w:val="single" w:color="E3E6EA" w:sz="4"/>
              <w:left w:val="single" w:color="E3E6EA" w:sz="4"/>
              <w:bottom w:val="single" w:color="E3E6EA" w:sz="4"/>
              <w:right w:val="single" w:color="E3E6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32425"/>
              </w:rPr>
              <w:t xml:space="preserve">€ 3,500</w:t>
            </w:r>
          </w:p>
        </w:tc>
        <w:tc>
          <w:tcPr>
            <w:tcW w:type="dxa" w:w="2000"/>
            <w:tcBorders>
              <w:top w:val="single" w:color="E3E6EA" w:sz="4"/>
              <w:left w:val="single" w:color="E3E6EA" w:sz="4"/>
              <w:bottom w:val="single" w:color="E3E6EA" w:sz="4"/>
              <w:right w:val="single" w:color="E3E6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32425"/>
              </w:rPr>
              <w:t xml:space="preserve">€ 8,500</w:t>
            </w:r>
          </w:p>
        </w:tc>
        <w:tc>
          <w:tcPr>
            <w:tcW w:type="dxa" w:w="2000"/>
            <w:tcBorders>
              <w:top w:val="single" w:color="E3E6EA" w:sz="4"/>
              <w:left w:val="single" w:color="E3E6EA" w:sz="4"/>
              <w:bottom w:val="single" w:color="E3E6EA" w:sz="4"/>
              <w:right w:val="single" w:color="E3E6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32425"/>
              </w:rPr>
              <w:t xml:space="preserve">€ 12,000</w:t>
            </w:r>
          </w:p>
        </w:tc>
      </w:tr>
      <w:tr>
        <w:tc>
          <w:tcPr>
            <w:tcW w:type="dxa" w:w="3412"/>
            <w:tcBorders>
              <w:top w:val="single" w:color="E3E6EA" w:sz="4"/>
              <w:left w:val="single" w:color="E3E6EA" w:sz="4"/>
              <w:bottom w:val="single" w:color="E3E6EA" w:sz="4"/>
              <w:right w:val="single" w:color="E3E6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32425"/>
              </w:rPr>
              <w:t xml:space="preserve">Contingency (10 %)</w:t>
            </w:r>
          </w:p>
        </w:tc>
        <w:tc>
          <w:tcPr>
            <w:tcW w:type="dxa" w:w="2000"/>
            <w:tcBorders>
              <w:top w:val="single" w:color="E3E6EA" w:sz="4"/>
              <w:left w:val="single" w:color="E3E6EA" w:sz="4"/>
              <w:bottom w:val="single" w:color="E3E6EA" w:sz="4"/>
              <w:right w:val="single" w:color="E3E6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32425"/>
              </w:rPr>
              <w:t xml:space="preserve">€ 8,300</w:t>
            </w:r>
          </w:p>
        </w:tc>
        <w:tc>
          <w:tcPr>
            <w:tcW w:type="dxa" w:w="2000"/>
            <w:tcBorders>
              <w:top w:val="single" w:color="E3E6EA" w:sz="4"/>
              <w:left w:val="single" w:color="E3E6EA" w:sz="4"/>
              <w:bottom w:val="single" w:color="E3E6EA" w:sz="4"/>
              <w:right w:val="single" w:color="E3E6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32425"/>
              </w:rPr>
              <w:t xml:space="preserve">€ 2,850</w:t>
            </w:r>
          </w:p>
        </w:tc>
        <w:tc>
          <w:tcPr>
            <w:tcW w:type="dxa" w:w="2000"/>
            <w:tcBorders>
              <w:top w:val="single" w:color="E3E6EA" w:sz="4"/>
              <w:left w:val="single" w:color="E3E6EA" w:sz="4"/>
              <w:bottom w:val="single" w:color="E3E6EA" w:sz="4"/>
              <w:right w:val="single" w:color="E3E6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32425"/>
              </w:rPr>
              <w:t xml:space="preserve">€ 11,150</w:t>
            </w:r>
          </w:p>
        </w:tc>
      </w:tr>
      <w:tr>
        <w:tc>
          <w:tcPr>
            <w:tcW w:type="dxa" w:w="3412"/>
            <w:tcBorders>
              <w:top w:val="single" w:color="E3E6EA" w:sz="4"/>
              <w:left w:val="single" w:color="E3E6EA" w:sz="4"/>
              <w:bottom w:val="single" w:color="E3E6EA" w:sz="4"/>
              <w:right w:val="single" w:color="E3E6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32425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E3E6EA" w:sz="4"/>
              <w:left w:val="single" w:color="E3E6EA" w:sz="4"/>
              <w:bottom w:val="single" w:color="E3E6EA" w:sz="4"/>
              <w:right w:val="single" w:color="E3E6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232425"/>
              </w:rPr>
              <w:t xml:space="preserve">€ 91,300</w:t>
            </w:r>
          </w:p>
        </w:tc>
        <w:tc>
          <w:tcPr>
            <w:tcW w:type="dxa" w:w="2000"/>
            <w:tcBorders>
              <w:top w:val="single" w:color="E3E6EA" w:sz="4"/>
              <w:left w:val="single" w:color="E3E6EA" w:sz="4"/>
              <w:bottom w:val="single" w:color="E3E6EA" w:sz="4"/>
              <w:right w:val="single" w:color="E3E6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232425"/>
              </w:rPr>
              <w:t xml:space="preserve">€ 31,350</w:t>
            </w:r>
          </w:p>
        </w:tc>
        <w:tc>
          <w:tcPr>
            <w:tcW w:type="dxa" w:w="2000"/>
            <w:tcBorders>
              <w:top w:val="single" w:color="E3E6EA" w:sz="4"/>
              <w:left w:val="single" w:color="E3E6EA" w:sz="4"/>
              <w:bottom w:val="single" w:color="E3E6EA" w:sz="4"/>
              <w:right w:val="single" w:color="E3E6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232425"/>
              </w:rPr>
              <w:t xml:space="preserve">€ 122,650</w:t>
            </w:r>
          </w:p>
        </w:tc>
      </w:tr>
    </w:tbl>
    <w:p>
      <w:pPr>
        <w:spacing w:after="120" w:before="80"/>
        <w:rPr>
          <w:i/>
          <w:iCs/>
          <w:color w:val="606366"/>
          <w:sz w:val="18"/>
          <w:szCs w:val="18"/>
        </w:rPr>
      </w:pPr>
      <w:r>
        <w:rPr>
          <w:i/>
          <w:iCs/>
          <w:color w:val="606366"/>
          <w:sz w:val="18"/>
          <w:szCs w:val="18"/>
        </w:rPr>
        <w:t xml:space="preserve">Totals exclude VAT. Contingency is 10 % of each quarter's other costs.</w:t>
      </w:r>
    </w:p>
    <w:p>
      <w:pPr>
        <w:pStyle w:val="Heading1"/>
      </w:pPr>
      <w:r>
        <w:t xml:space="preserve">Risks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Construction delay. </w:t>
      </w:r>
      <w:r>
        <w:t xml:space="preserve">Mitigated by a fixed-price fit-out contract with a late-delivery penalty.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Slower ramp-up. </w:t>
      </w:r>
      <w:r>
        <w:t xml:space="preserve">The budget assumes 55 % of Vrijdagmarkt's covers in month one, rising to 90 % by month six.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Staffing. </w:t>
      </w:r>
      <w:r>
        <w:t xml:space="preserve">We start recruiting baristas in February and train them in the existing café.</w:t>
      </w:r>
    </w:p>
    <w:p>
      <w:pPr>
        <w:pStyle w:val="Heading1"/>
      </w:pPr>
      <w:r>
        <w:t xml:space="preserve">Decision requested</w:t>
      </w:r>
    </w:p>
    <w:p>
      <w:pPr>
        <w:spacing w:after="120"/>
      </w:pPr>
      <w:r>
        <w:t xml:space="preserve">Approve the investment of </w:t>
      </w:r>
      <w:r>
        <w:rPr>
          <w:b/>
          <w:bCs/>
        </w:rPr>
        <w:t xml:space="preserve">€ 122,650</w:t>
      </w:r>
      <w:r>
        <w:t xml:space="preserve"> and authorise the lease signature before 15 December 2026.</w:t>
      </w:r>
    </w:p>
    <w:sectPr>
      <w:headerReference w:type="default" r:id="rId6"/>
      <w:footerReference w:type="default" r:id="rId7"/>
      <w:pgSz w:w="11906" w:h="16838" w:orient="portrait"/>
      <w:pgMar w:top="1247" w:right="1247" w:bottom="1247" w:left="124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06366"/>
        <w:sz w:val="16"/>
        <w:szCs w:val="16"/>
      </w:rPr>
      <w:t xml:space="preserve">Page </w:t>
    </w:r>
    <w:r>
      <w:rPr>
        <w:color w:val="6063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06366"/>
        <w:sz w:val="16"/>
        <w:szCs w:val="16"/>
      </w:rPr>
      <w:t xml:space="preserve">Aurora Coffee Roasters ·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32425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b/>
      <w:bCs/>
      <w:color w:val="232425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b/>
      <w:bCs/>
      <w:color w:val="C95F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b/>
      <w:bCs/>
      <w:color w:val="232425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Sunrise — proposal</dc:title>
  <dc:creator>SolarOffice examples</dc:creator>
  <dc:description>SolarWord example document (fictional)</dc:description>
  <cp:lastModifiedBy>Un-named</cp:lastModifiedBy>
  <cp:revision>1</cp:revision>
  <dcterms:created xsi:type="dcterms:W3CDTF">2026-10-24T10:02:49.415Z</dcterms:created>
  <dcterms:modified xsi:type="dcterms:W3CDTF">2026-10-24T10:02:49.416Z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