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val="false"/>
          <w:bCs w:val="false"/>
          <w:i w:val="false"/>
          <w:iCs w:val="false"/>
          <w:color w:val="37474F"/>
          <w:sz w:val="22"/>
          <w:szCs w:val="22"/>
        </w:rPr>
        <w:t xml:space="preserve"/>
      </w:r>
    </w:p>
    <w:p>
      <w:pPr>
        <w:spacing w:after="80" w:before="0"/>
        <w:jc w:val="center"/>
      </w:pPr>
      <w:r>
        <w:rPr>
          <w:rFonts w:ascii="Arial" w:cs="Arial" w:eastAsia="Arial" w:hAnsi="Arial"/>
          <w:b/>
          <w:bCs/>
          <w:color w:val="1B5E20"/>
          <w:sz w:val="52"/>
          <w:szCs w:val="52"/>
        </w:rPr>
        <w:t xml:space="preserve">GreenSM × V-Smart Pay</w:t>
      </w:r>
    </w:p>
    <w:p>
      <w:pPr>
        <w:spacing w:after="240" w:before="0"/>
        <w:jc w:val="center"/>
      </w:pPr>
      <w:r>
        <w:rPr>
          <w:rFonts w:ascii="Arial" w:cs="Arial" w:eastAsia="Arial" w:hAnsi="Arial"/>
          <w:b/>
          <w:bCs/>
          <w:color w:val="2E7D32"/>
          <w:sz w:val="44"/>
          <w:szCs w:val="44"/>
        </w:rPr>
        <w:t xml:space="preserve">Carbon Credit Program</w:t>
      </w:r>
    </w:p>
    <w:p>
      <w:pPr>
        <w:pBdr>
          <w:top w:val="single" w:color="2E7D32" w:sz="4" w:space="4"/>
          <w:bottom w:val="single" w:color="2E7D32" w:sz="4" w:space="4"/>
        </w:pBdr>
        <w:spacing w:after="80" w:before="0"/>
        <w:jc w:val="center"/>
      </w:pPr>
      <w:r>
        <w:rPr>
          <w:rFonts w:ascii="Arial" w:cs="Arial" w:eastAsia="Arial" w:hAnsi="Arial"/>
          <w:color w:val="00695C"/>
          <w:sz w:val="28"/>
          <w:szCs w:val="28"/>
        </w:rPr>
        <w:t xml:space="preserve">Proposal Plan  |  2026</w:t>
      </w:r>
    </w:p>
    <w:p>
      <w:pPr>
        <w:spacing w:after="0" w:before="400"/>
      </w:pPr>
      <w:r>
        <w:rPr>
          <w:rFonts w:ascii="Arial" w:cs="Arial" w:eastAsia="Arial" w:hAnsi="Arial"/>
          <w:b w:val="false"/>
          <w:bCs w:val="false"/>
          <w:i w:val="false"/>
          <w:iCs w:val="false"/>
          <w:color w:val="37474F"/>
          <w:sz w:val="22"/>
          <w:szCs w:val="22"/>
        </w:rPr>
        <w:t xml:space="preserve"/>
      </w:r>
    </w:p>
    <w:p>
      <w:pPr>
        <w:spacing w:after="60" w:before="0"/>
        <w:jc w:val="center"/>
      </w:pPr>
      <w:r>
        <w:rPr>
          <w:rFonts w:ascii="Arial" w:cs="Arial" w:eastAsia="Arial" w:hAnsi="Arial"/>
          <w:i/>
          <w:iCs/>
          <w:color w:val="607D8B"/>
          <w:sz w:val="24"/>
          <w:szCs w:val="24"/>
        </w:rPr>
        <w:t xml:space="preserve">Biến mỗi km lái xe điện thành tài sản tài chính cho tài xế</w:t>
      </w:r>
    </w:p>
    <w:p>
      <w:pPr>
        <w:spacing w:after="0" w:before="1200"/>
      </w:pPr>
      <w:r>
        <w:rPr>
          <w:rFonts w:ascii="Arial" w:cs="Arial" w:eastAsia="Arial" w:hAnsi="Arial"/>
          <w:b w:val="false"/>
          <w:bCs w:val="false"/>
          <w:i w:val="false"/>
          <w:iCs w:val="false"/>
          <w:color w:val="37474F"/>
          <w:sz w:val="22"/>
          <w:szCs w:val="22"/>
        </w:rPr>
        <w:t xml:space="preserve"/>
      </w:r>
    </w:p>
    <w:p>
      <w:pPr>
        <w:jc w:val="center"/>
      </w:pPr>
      <w:r>
        <w:rPr>
          <w:rFonts w:ascii="Arial" w:cs="Arial" w:eastAsia="Arial" w:hAnsi="Arial"/>
          <w:color w:val="607D8B"/>
          <w:sz w:val="18"/>
          <w:szCs w:val="18"/>
        </w:rPr>
        <w:t xml:space="preserve">Confidential — Internal Use Only</w:t>
      </w:r>
    </w:p>
    <w:p>
      <w:r>
        <w:br w:type="page"/>
      </w:r>
    </w:p>
    <w:p>
      <w:pPr>
        <w:pStyle w:val="Heading1"/>
        <w:pBdr>
          <w:bottom w:val="single" w:color="2E7D32" w:sz="8" w:space="6"/>
        </w:pBdr>
        <w:spacing w:after="160" w:before="400"/>
      </w:pPr>
      <w:r>
        <w:rPr>
          <w:rFonts w:ascii="Arial" w:cs="Arial" w:eastAsia="Arial" w:hAnsi="Arial"/>
          <w:b/>
          <w:bCs/>
          <w:color w:val="1B5E20"/>
          <w:sz w:val="36"/>
          <w:szCs w:val="36"/>
        </w:rPr>
        <w:t xml:space="preserve">1. Tóm tắt Điều hành</w:t>
      </w:r>
    </w:p>
    <w:p>
      <w:pPr>
        <w:spacing w:after="80" w:before="80"/>
        <w:jc w:val="left"/>
      </w:pPr>
      <w:r>
        <w:rPr>
          <w:rFonts w:ascii="Arial" w:cs="Arial" w:eastAsia="Arial" w:hAnsi="Arial"/>
          <w:b w:val="false"/>
          <w:bCs w:val="false"/>
          <w:i w:val="false"/>
          <w:iCs w:val="false"/>
          <w:color w:val="37474F"/>
          <w:sz w:val="22"/>
          <w:szCs w:val="22"/>
        </w:rPr>
        <w:t xml:space="preserve">GreenSM vận hành đội xe điện 100% tại Việt Nam — đây là lợi thế độc nhất để xây dựng chương trình Carbon Credit quy mô lớn. Mỗi km tài xế lái xe điện thay thế một km taxi xăng trên đường phố, tạo ra lượng CO₂ tiết kiệm có thể đo lường, chứng nhận và bán ra thị trường carbon quốc tế.</w:t>
      </w:r>
    </w:p>
    <w:p>
      <w:pPr>
        <w:spacing w:after="0" w:before="80"/>
      </w:pPr>
      <w:r>
        <w:rPr>
          <w:rFonts w:ascii="Arial" w:cs="Arial" w:eastAsia="Arial" w:hAnsi="Arial"/>
          <w:b w:val="false"/>
          <w:bCs w:val="false"/>
          <w:i w:val="false"/>
          <w:iCs w:val="false"/>
          <w:color w:val="37474F"/>
          <w:sz w:val="22"/>
          <w:szCs w:val="22"/>
        </w:rPr>
        <w:t xml:space="preserve"/>
      </w:r>
    </w:p>
    <w:p>
      <w:pPr>
        <w:spacing w:after="80" w:before="80"/>
        <w:jc w:val="left"/>
      </w:pPr>
      <w:r>
        <w:rPr>
          <w:rFonts w:ascii="Arial" w:cs="Arial" w:eastAsia="Arial" w:hAnsi="Arial"/>
          <w:b w:val="false"/>
          <w:bCs w:val="false"/>
          <w:i w:val="false"/>
          <w:iCs w:val="false"/>
          <w:color w:val="37474F"/>
          <w:sz w:val="22"/>
          <w:szCs w:val="22"/>
        </w:rPr>
        <w:t xml:space="preserve">V-Smart Pay là kênh phân phối phần thưởng trực tiếp đến tài xế — không qua trung gian, không cần thêm app. Đây là mô hình chưa có đối thủ nào ở Việt Nam và Đông Nam Á thực hiện ở quy mô fleet ride-hailing.</w:t>
      </w:r>
    </w:p>
    <w:p>
      <w:pPr>
        <w:spacing w:after="0" w:before="120"/>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Fleet thuần EV</w:t>
            </w:r>
          </w:p>
        </w:tc>
        <w:tc>
          <w:tcPr>
            <w:tcW w:type="dxa" w:w="234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Telemetry chính xác</w:t>
            </w:r>
          </w:p>
        </w:tc>
        <w:tc>
          <w:tcPr>
            <w:tcW w:type="dxa" w:w="234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Ví tài xế sẵn có</w:t>
            </w:r>
          </w:p>
        </w:tc>
        <w:tc>
          <w:tcPr>
            <w:tcW w:type="dxa" w:w="234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Thị trường mở 2026</w:t>
            </w:r>
          </w:p>
        </w:tc>
      </w:tr>
      <w:tr>
        <w:tc>
          <w:tcPr>
            <w:tcW w:type="dxa" w:w="234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100% xe điện VinFast — không cần lọc từ fleet hỗn hợp</w:t>
            </w:r>
          </w:p>
        </w:tc>
        <w:tc>
          <w:tcPr>
            <w:tcW w:type="dxa" w:w="234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VinFast OBD/OTA API — km thật, không tự báo, không gian lận</w:t>
            </w:r>
          </w:p>
        </w:tc>
        <w:tc>
          <w:tcPr>
            <w:tcW w:type="dxa" w:w="234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V-Smart Pay có sẵn — phân phối thưởng tức thì, zero cost</w:t>
            </w:r>
          </w:p>
        </w:tc>
        <w:tc>
          <w:tcPr>
            <w:tcW w:type="dxa" w:w="234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Decree 29/2026 vận hành ETS. Singapore carbon tax $35/tấn</w:t>
            </w:r>
          </w:p>
        </w:tc>
      </w:tr>
    </w:tbl>
    <w:p>
      <w:pPr>
        <w:spacing w:after="0" w:before="120"/>
      </w:pPr>
      <w:r>
        <w:rPr>
          <w:rFonts w:ascii="Arial" w:cs="Arial" w:eastAsia="Arial" w:hAnsi="Arial"/>
          <w:b w:val="false"/>
          <w:bCs w:val="false"/>
          <w:i w:val="false"/>
          <w:iCs w:val="false"/>
          <w:color w:val="37474F"/>
          <w:sz w:val="22"/>
          <w:szCs w:val="22"/>
        </w:rPr>
        <w:t xml:space="preserve"/>
      </w:r>
    </w:p>
    <w:p>
      <w:pPr>
        <w:spacing w:after="80" w:before="80"/>
        <w:jc w:val="left"/>
      </w:pPr>
      <w:r>
        <w:rPr>
          <w:rFonts w:ascii="Arial" w:cs="Arial" w:eastAsia="Arial" w:hAnsi="Arial"/>
          <w:b w:val="false"/>
          <w:bCs w:val="false"/>
          <w:i w:val="false"/>
          <w:iCs w:val="false"/>
          <w:color w:val="37474F"/>
          <w:sz w:val="22"/>
          <w:szCs w:val="22"/>
        </w:rPr>
        <w:t xml:space="preserve">Đây là 4 lợi thế cốt lõi mà Grab, Be, Gojek không thể copy vì fleet hỗn hợp của họ không đủ điều kiện apply grouped methodology VM0038.</w:t>
      </w:r>
    </w:p>
    <w:p>
      <w:pPr>
        <w:spacing w:after="0" w:before="200"/>
      </w:pPr>
      <w:r>
        <w:rPr>
          <w:rFonts w:ascii="Arial" w:cs="Arial" w:eastAsia="Arial" w:hAnsi="Arial"/>
          <w:b w:val="false"/>
          <w:bCs w:val="false"/>
          <w:i w:val="false"/>
          <w:iCs w:val="false"/>
          <w:color w:val="37474F"/>
          <w:sz w:val="22"/>
          <w:szCs w:val="22"/>
        </w:rPr>
        <w:t xml:space="preserve"/>
      </w:r>
    </w:p>
    <w:p>
      <w:pPr>
        <w:pStyle w:val="Heading1"/>
        <w:pBdr>
          <w:bottom w:val="single" w:color="2E7D32" w:sz="8" w:space="6"/>
        </w:pBdr>
        <w:spacing w:after="160" w:before="400"/>
      </w:pPr>
      <w:r>
        <w:rPr>
          <w:rFonts w:ascii="Arial" w:cs="Arial" w:eastAsia="Arial" w:hAnsi="Arial"/>
          <w:b/>
          <w:bCs/>
          <w:color w:val="1B5E20"/>
          <w:sz w:val="36"/>
          <w:szCs w:val="36"/>
        </w:rPr>
        <w:t xml:space="preserve">2. Bức tranh Thị trường Carbon</w:t>
      </w:r>
    </w:p>
    <w:p>
      <w:pPr>
        <w:pStyle w:val="Heading2"/>
        <w:spacing w:after="120" w:before="320"/>
      </w:pPr>
      <w:r>
        <w:rPr>
          <w:rFonts w:ascii="Arial" w:cs="Arial" w:eastAsia="Arial" w:hAnsi="Arial"/>
          <w:b/>
          <w:bCs/>
          <w:color w:val="2E7D32"/>
          <w:sz w:val="28"/>
          <w:szCs w:val="28"/>
        </w:rPr>
        <w:t xml:space="preserve">2.1 Quy mô toàn cầu</w:t>
      </w:r>
    </w:p>
    <w:p>
      <w:pPr>
        <w:spacing w:after="80" w:before="80"/>
        <w:jc w:val="left"/>
      </w:pPr>
      <w:r>
        <w:rPr>
          <w:rFonts w:ascii="Arial" w:cs="Arial" w:eastAsia="Arial" w:hAnsi="Arial"/>
          <w:b w:val="false"/>
          <w:bCs w:val="false"/>
          <w:i w:val="false"/>
          <w:iCs w:val="false"/>
          <w:color w:val="37474F"/>
          <w:sz w:val="22"/>
          <w:szCs w:val="22"/>
        </w:rPr>
        <w:t xml:space="preserve">Voluntary carbon market 2026 ước tính $3–24 tỷ USD (CAGR 20–36% đến 2035). Compliance market lớn hơn nhiều: $127 tỷ USD năm 2026, dự kiến $482 tỷ năm 2035.</w:t>
      </w:r>
    </w:p>
    <w:p>
      <w:pPr>
        <w:spacing w:after="0" w:before="80"/>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Thị trường</w:t>
            </w:r>
          </w:p>
        </w:tc>
        <w:tc>
          <w:tcPr>
            <w:tcW w:type="dxa" w:w="20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Giá 2026</w:t>
            </w:r>
          </w:p>
        </w:tc>
        <w:tc>
          <w:tcPr>
            <w:tcW w:type="dxa" w:w="20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Xu hướng</w:t>
            </w:r>
          </w:p>
        </w:tc>
        <w:tc>
          <w:tcPr>
            <w:tcW w:type="dxa" w:w="256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Phù hợp GreenSM?</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EU ETS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~$110/tấn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Tăng</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Gián tiếp qua CBAM</w:t>
            </w:r>
          </w:p>
        </w:tc>
      </w:tr>
      <w:t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Singapore carbon tax</w:t>
            </w:r>
          </w:p>
        </w:tc>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$35/tấn</w:t>
            </w:r>
          </w:p>
        </w:tc>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Tăng lên $62/2030</w:t>
            </w:r>
          </w:p>
        </w:tc>
        <w:tc>
          <w:tcPr>
            <w:tcW w:type="dxa" w:w="25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Trực tiếp — đã ký IGA với VN</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CORSIA (hàng không)</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$15–25/tấn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Bắt buộc 2028</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Bán qua broker</w:t>
            </w:r>
          </w:p>
        </w:tc>
      </w:tr>
      <w:t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Voluntary corporate</w:t>
            </w:r>
          </w:p>
        </w:tc>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$8–20/tấn</w:t>
            </w:r>
          </w:p>
        </w:tc>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Tăng theo ESG</w:t>
            </w:r>
          </w:p>
        </w:tc>
        <w:tc>
          <w:tcPr>
            <w:tcW w:type="dxa" w:w="25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Bán B2B cho MNCs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Vietnam ETS (pilot)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$5–15/tấn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Mới vận hành</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Domestic buyers</w:t>
            </w:r>
          </w:p>
        </w:tc>
      </w:tr>
    </w:tbl>
    <w:p>
      <w:pPr>
        <w:spacing w:after="0" w:before="120"/>
      </w:pPr>
      <w:r>
        <w:rPr>
          <w:rFonts w:ascii="Arial" w:cs="Arial" w:eastAsia="Arial" w:hAnsi="Arial"/>
          <w:b w:val="false"/>
          <w:bCs w:val="false"/>
          <w:i w:val="false"/>
          <w:iCs w:val="false"/>
          <w:color w:val="37474F"/>
          <w:sz w:val="22"/>
          <w:szCs w:val="22"/>
        </w:rPr>
        <w:t xml:space="preserve"/>
      </w:r>
    </w:p>
    <w:p>
      <w:pPr>
        <w:pStyle w:val="Heading2"/>
        <w:spacing w:after="120" w:before="320"/>
      </w:pPr>
      <w:r>
        <w:rPr>
          <w:rFonts w:ascii="Arial" w:cs="Arial" w:eastAsia="Arial" w:hAnsi="Arial"/>
          <w:b/>
          <w:bCs/>
          <w:color w:val="2E7D32"/>
          <w:sz w:val="28"/>
          <w:szCs w:val="28"/>
        </w:rPr>
        <w:t xml:space="preserve">2.2 Việt Nam — Cửa sổ cơ hội 2026</w:t>
      </w:r>
    </w:p>
    <w:p>
      <w:pPr>
        <w:pStyle w:val="ListParagraph"/>
        <w:numPr>
          <w:ilvl w:val="0"/>
          <w:numId w:val="2"/>
        </w:numPr>
        <w:spacing w:after="60" w:before="60"/>
      </w:pPr>
      <w:r>
        <w:rPr>
          <w:rFonts w:ascii="Arial" w:cs="Arial" w:eastAsia="Arial" w:hAnsi="Arial"/>
          <w:b w:val="false"/>
          <w:bCs w:val="false"/>
          <w:i w:val="false"/>
          <w:iCs w:val="false"/>
          <w:color w:val="37474F"/>
          <w:sz w:val="22"/>
          <w:szCs w:val="22"/>
        </w:rPr>
        <w:t xml:space="preserve">Decree 29/2026: vận hành thị trường carbon thí điểm (nhiệt điện, thép, xi măng).</w:t>
      </w:r>
    </w:p>
    <w:p>
      <w:pPr>
        <w:pStyle w:val="ListParagraph"/>
        <w:numPr>
          <w:ilvl w:val="0"/>
          <w:numId w:val="2"/>
        </w:numPr>
        <w:spacing w:after="60" w:before="60"/>
      </w:pPr>
      <w:r>
        <w:rPr>
          <w:rFonts w:ascii="Arial" w:cs="Arial" w:eastAsia="Arial" w:hAnsi="Arial"/>
          <w:b w:val="false"/>
          <w:bCs w:val="false"/>
          <w:i w:val="false"/>
          <w:iCs w:val="false"/>
          <w:color w:val="37474F"/>
          <w:sz w:val="22"/>
          <w:szCs w:val="22"/>
        </w:rPr>
        <w:t xml:space="preserve">Nghị định xuất khẩu credits có hiệu lực 19/5/2026 theo Article 6.2 Paris Agreement.</w:t>
      </w:r>
    </w:p>
    <w:p>
      <w:pPr>
        <w:pStyle w:val="ListParagraph"/>
        <w:numPr>
          <w:ilvl w:val="0"/>
          <w:numId w:val="2"/>
        </w:numPr>
        <w:spacing w:after="60" w:before="60"/>
      </w:pPr>
      <w:r>
        <w:rPr>
          <w:rFonts w:ascii="Arial" w:cs="Arial" w:eastAsia="Arial" w:hAnsi="Arial"/>
          <w:b w:val="false"/>
          <w:bCs w:val="false"/>
          <w:i w:val="false"/>
          <w:iCs w:val="false"/>
          <w:color w:val="37474F"/>
          <w:sz w:val="22"/>
          <w:szCs w:val="22"/>
        </w:rPr>
        <w:t xml:space="preserve">Vietnam–Singapore Implementation Agreement: credits VN được Singapore carbon tax chấp nhận.</w:t>
      </w:r>
    </w:p>
    <w:p>
      <w:pPr>
        <w:pStyle w:val="ListParagraph"/>
        <w:numPr>
          <w:ilvl w:val="0"/>
          <w:numId w:val="2"/>
        </w:numPr>
        <w:spacing w:after="60" w:before="60"/>
      </w:pPr>
      <w:r>
        <w:rPr>
          <w:rFonts w:ascii="Arial" w:cs="Arial" w:eastAsia="Arial" w:hAnsi="Arial"/>
          <w:b w:val="false"/>
          <w:bCs w:val="false"/>
          <w:i w:val="false"/>
          <w:iCs w:val="false"/>
          <w:color w:val="37474F"/>
          <w:sz w:val="22"/>
          <w:szCs w:val="22"/>
        </w:rPr>
        <w:t xml:space="preserve">Window 12–18 tháng trước khi các player lớn (Grab, MoMo) nhảy vào với partnership EV mới.</w:t>
      </w:r>
    </w:p>
    <w:p>
      <w:pPr>
        <w:spacing w:after="0" w:before="200"/>
      </w:pPr>
      <w:r>
        <w:rPr>
          <w:rFonts w:ascii="Arial" w:cs="Arial" w:eastAsia="Arial" w:hAnsi="Arial"/>
          <w:b w:val="false"/>
          <w:bCs w:val="false"/>
          <w:i w:val="false"/>
          <w:iCs w:val="false"/>
          <w:color w:val="37474F"/>
          <w:sz w:val="22"/>
          <w:szCs w:val="22"/>
        </w:rPr>
        <w:t xml:space="preserve"/>
      </w:r>
    </w:p>
    <w:p>
      <w:pPr>
        <w:pStyle w:val="Heading1"/>
        <w:pBdr>
          <w:bottom w:val="single" w:color="2E7D32" w:sz="8" w:space="6"/>
        </w:pBdr>
        <w:spacing w:after="160" w:before="400"/>
      </w:pPr>
      <w:r>
        <w:rPr>
          <w:rFonts w:ascii="Arial" w:cs="Arial" w:eastAsia="Arial" w:hAnsi="Arial"/>
          <w:b/>
          <w:bCs/>
          <w:color w:val="1B5E20"/>
          <w:sz w:val="36"/>
          <w:szCs w:val="36"/>
        </w:rPr>
        <w:t xml:space="preserve">3. Cơ chế Tạo Carbon Credits</w:t>
      </w:r>
    </w:p>
    <w:p>
      <w:pPr>
        <w:pStyle w:val="Heading2"/>
        <w:spacing w:after="120" w:before="320"/>
      </w:pPr>
      <w:r>
        <w:rPr>
          <w:rFonts w:ascii="Arial" w:cs="Arial" w:eastAsia="Arial" w:hAnsi="Arial"/>
          <w:b/>
          <w:bCs/>
          <w:color w:val="2E7D32"/>
          <w:sz w:val="28"/>
          <w:szCs w:val="28"/>
        </w:rPr>
        <w:t xml:space="preserve">3.1 Methodology áp dụng</w:t>
      </w:r>
    </w:p>
    <w:p>
      <w:pPr>
        <w:spacing w:after="80" w:before="80"/>
        <w:jc w:val="left"/>
      </w:pPr>
      <w:r>
        <w:rPr>
          <w:rFonts w:ascii="Arial" w:cs="Arial" w:eastAsia="Arial" w:hAnsi="Arial"/>
          <w:b w:val="false"/>
          <w:bCs w:val="false"/>
          <w:i w:val="false"/>
          <w:iCs w:val="false"/>
          <w:color w:val="37474F"/>
          <w:sz w:val="22"/>
          <w:szCs w:val="22"/>
        </w:rPr>
        <w:t xml:space="preserve">GreenSM sẽ đăng ký grouped project dưới Verra VM0038 — Methodology for Electric Vehicle Charging Systems. Đây là standard quốc tế được Verra công nhận, cho phép aggregate nhiều EV networks dưới một project duy nhất, giảm đáng kể chi phí registration và MRV audit.</w:t>
      </w:r>
    </w:p>
    <w:p>
      <w:pPr>
        <w:spacing w:after="0" w:before="80"/>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F8E9" w:val="clear"/>
            <w:tcMar>
              <w:top w:type="dxa" w:w="100"/>
              <w:left w:type="dxa" w:w="160"/>
              <w:bottom w:type="dxa" w:w="100"/>
              <w:right w:type="dxa" w:w="160"/>
            </w:tcMar>
          </w:tcPr>
          <w:p>
            <w:r>
              <w:rPr>
                <w:rFonts w:ascii="Arial" w:cs="Arial" w:eastAsia="Arial" w:hAnsi="Arial"/>
                <w:b/>
                <w:bCs/>
                <w:color w:val="1B5E20"/>
                <w:sz w:val="20"/>
                <w:szCs w:val="20"/>
              </w:rPr>
              <w:t xml:space="preserve">VM0038</w:t>
            </w:r>
          </w:p>
        </w:tc>
        <w:tc>
          <w:tcPr>
            <w:tcW w:type="dxa" w:w="7360"/>
            <w:tcBorders>
              <w:top w:val="none" w:color="FFFFFF" w:sz="0"/>
              <w:left w:val="none" w:color="FFFFFF" w:sz="0"/>
              <w:bottom w:val="none" w:color="FFFFFF" w:sz="0"/>
              <w:right w:val="none" w:color="FFFFFF" w:sz="0"/>
            </w:tcBorders>
            <w:shd w:fill="F1F8E9" w:val="clear"/>
            <w:tcMar>
              <w:top w:type="dxa" w:w="100"/>
              <w:left w:type="dxa" w:w="160"/>
              <w:bottom w:type="dxa" w:w="100"/>
              <w:right w:type="dxa" w:w="160"/>
            </w:tcMar>
          </w:tcPr>
          <w:p>
            <w:r>
              <w:rPr>
                <w:rFonts w:ascii="Arial" w:cs="Arial" w:eastAsia="Arial" w:hAnsi="Arial"/>
                <w:color w:val="37474F"/>
                <w:sz w:val="20"/>
                <w:szCs w:val="20"/>
              </w:rPr>
              <w:t xml:space="preserve">Tính emission reduction bằng cách so sánh điện tiêu thụ để chạy EV với lượng CO₂ phát thải nếu thay bằng xe xăng chạy cùng quãng đường. Fleet thuần 100% EV của GreenSM là ứng viên lý tưởng — không cần lọc xe, không cần tự báo.</w:t>
            </w:r>
          </w:p>
        </w:tc>
      </w:tr>
    </w:tbl>
    <w:p>
      <w:pPr>
        <w:spacing w:after="0" w:before="120"/>
      </w:pPr>
      <w:r>
        <w:rPr>
          <w:rFonts w:ascii="Arial" w:cs="Arial" w:eastAsia="Arial" w:hAnsi="Arial"/>
          <w:b w:val="false"/>
          <w:bCs w:val="false"/>
          <w:i w:val="false"/>
          <w:iCs w:val="false"/>
          <w:color w:val="37474F"/>
          <w:sz w:val="22"/>
          <w:szCs w:val="22"/>
        </w:rPr>
        <w:t xml:space="preserve"/>
      </w:r>
    </w:p>
    <w:p>
      <w:pPr>
        <w:pStyle w:val="Heading2"/>
        <w:spacing w:after="120" w:before="320"/>
      </w:pPr>
      <w:r>
        <w:rPr>
          <w:rFonts w:ascii="Arial" w:cs="Arial" w:eastAsia="Arial" w:hAnsi="Arial"/>
          <w:b/>
          <w:bCs/>
          <w:color w:val="2E7D32"/>
          <w:sz w:val="28"/>
          <w:szCs w:val="28"/>
        </w:rPr>
        <w:t xml:space="preserve">3.2 Hệ số giảm thải theo loại xe</w:t>
      </w:r>
    </w:p>
    <w:p>
      <w:pPr>
        <w:spacing w:after="0" w:before="80"/>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Loại xe</w:t>
            </w:r>
          </w:p>
        </w:tc>
        <w:tc>
          <w:tcPr>
            <w:tcW w:type="dxa" w:w="234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Baseline so sánh</w:t>
            </w:r>
          </w:p>
        </w:tc>
        <w:tc>
          <w:tcPr>
            <w:tcW w:type="dxa" w:w="234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CO₂ tiết kiệm/km</w:t>
            </w:r>
          </w:p>
        </w:tc>
        <w:tc>
          <w:tcPr>
            <w:tcW w:type="dxa" w:w="234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Điểm Xanh/km</w:t>
            </w:r>
          </w:p>
        </w:tc>
      </w:tr>
      <w:tr>
        <w:tc>
          <w:tcPr>
            <w:tcW w:type="dxa" w:w="234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Ô tô điện (VF5/VF8)</w:t>
            </w:r>
          </w:p>
        </w:tc>
        <w:tc>
          <w:tcPr>
            <w:tcW w:type="dxa" w:w="234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Taxi ICE 4 chỗ</w:t>
            </w:r>
          </w:p>
        </w:tc>
        <w:tc>
          <w:tcPr>
            <w:tcW w:type="dxa" w:w="234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100g CO₂/km</w:t>
            </w:r>
          </w:p>
        </w:tc>
        <w:tc>
          <w:tcPr>
            <w:tcW w:type="dxa" w:w="234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center"/>
            </w:pPr>
            <w:r>
              <w:rPr>
                <w:rFonts w:ascii="Arial" w:cs="Arial" w:eastAsia="Arial" w:hAnsi="Arial"/>
                <w:b/>
                <w:bCs/>
                <w:color w:val="37474F"/>
                <w:sz w:val="20"/>
                <w:szCs w:val="20"/>
              </w:rPr>
              <w:t xml:space="preserve">100 điểm/km</w:t>
            </w:r>
          </w:p>
        </w:tc>
      </w:tr>
      <w:tr>
        <w:tc>
          <w:tcPr>
            <w:tcW w:type="dxa" w:w="23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Xe máy điện</w:t>
            </w:r>
          </w:p>
        </w:tc>
        <w:tc>
          <w:tcPr>
            <w:tcW w:type="dxa" w:w="23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Xe máy xăng 110cc</w:t>
            </w:r>
          </w:p>
        </w:tc>
        <w:tc>
          <w:tcPr>
            <w:tcW w:type="dxa" w:w="23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50g CO₂/km</w:t>
            </w:r>
          </w:p>
        </w:tc>
        <w:tc>
          <w:tcPr>
            <w:tcW w:type="dxa" w:w="23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74F"/>
                <w:sz w:val="20"/>
                <w:szCs w:val="20"/>
              </w:rPr>
              <w:t xml:space="preserve">50 điểm/km</w:t>
            </w:r>
          </w:p>
        </w:tc>
      </w:tr>
    </w:tbl>
    <w:p>
      <w:pPr>
        <w:spacing w:after="0" w:before="80"/>
      </w:pPr>
      <w:r>
        <w:rPr>
          <w:rFonts w:ascii="Arial" w:cs="Arial" w:eastAsia="Arial" w:hAnsi="Arial"/>
          <w:b w:val="false"/>
          <w:bCs w:val="false"/>
          <w:i w:val="false"/>
          <w:iCs w:val="false"/>
          <w:color w:val="37474F"/>
          <w:sz w:val="22"/>
          <w:szCs w:val="22"/>
        </w:rPr>
        <w:t xml:space="preserve"/>
      </w:r>
    </w:p>
    <w:p>
      <w:pPr>
        <w:spacing w:after="80" w:before="80"/>
        <w:jc w:val="left"/>
      </w:pPr>
      <w:r>
        <w:rPr>
          <w:rFonts w:ascii="Arial" w:cs="Arial" w:eastAsia="Arial" w:hAnsi="Arial"/>
          <w:b w:val="false"/>
          <w:bCs w:val="false"/>
          <w:i/>
          <w:iCs/>
          <w:color w:val="607D8B"/>
          <w:sz w:val="22"/>
          <w:szCs w:val="22"/>
        </w:rPr>
        <w:t xml:space="preserve">1 Điểm Xanh = 1 gram CO₂ tiết kiệm được. Đơn vị này tự nhiên scale theo đóng góp môi trường thật của từng loại xe — không cần điều chỉnh tay.</w:t>
      </w:r>
    </w:p>
    <w:p>
      <w:pPr>
        <w:spacing w:after="0" w:before="160"/>
      </w:pPr>
      <w:r>
        <w:rPr>
          <w:rFonts w:ascii="Arial" w:cs="Arial" w:eastAsia="Arial" w:hAnsi="Arial"/>
          <w:b w:val="false"/>
          <w:bCs w:val="false"/>
          <w:i w:val="false"/>
          <w:iCs w:val="false"/>
          <w:color w:val="37474F"/>
          <w:sz w:val="22"/>
          <w:szCs w:val="22"/>
        </w:rPr>
        <w:t xml:space="preserve"/>
      </w:r>
    </w:p>
    <w:p>
      <w:pPr>
        <w:pStyle w:val="Heading2"/>
        <w:spacing w:after="120" w:before="320"/>
      </w:pPr>
      <w:r>
        <w:rPr>
          <w:rFonts w:ascii="Arial" w:cs="Arial" w:eastAsia="Arial" w:hAnsi="Arial"/>
          <w:b/>
          <w:bCs/>
          <w:color w:val="2E7D32"/>
          <w:sz w:val="28"/>
          <w:szCs w:val="28"/>
        </w:rPr>
        <w:t xml:space="preserve">3.3 Số km &amp; CO₂ thực tế/tháng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Chỉ số</w:t>
            </w:r>
          </w:p>
        </w:tc>
        <w:tc>
          <w:tcPr>
            <w:tcW w:type="dxa" w:w="312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Ô tô điện</w:t>
            </w:r>
          </w:p>
        </w:tc>
        <w:tc>
          <w:tcPr>
            <w:tcW w:type="dxa" w:w="312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Xe máy điện</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Km/ngày (thực tế)</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130 km</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100 km</w:t>
            </w:r>
          </w:p>
        </w:tc>
      </w:tr>
      <w:tr>
        <w:tc>
          <w:tcPr>
            <w:tcW w:type="dxa" w:w="312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Ngày chạy/tháng</w:t>
            </w:r>
          </w:p>
        </w:tc>
        <w:tc>
          <w:tcPr>
            <w:tcW w:type="dxa" w:w="312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25 ngày</w:t>
            </w:r>
          </w:p>
        </w:tc>
        <w:tc>
          <w:tcPr>
            <w:tcW w:type="dxa" w:w="312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25 ngày</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Km/tháng</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3,250 km</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2,500 km</w:t>
            </w:r>
          </w:p>
        </w:tc>
      </w:tr>
      <w:tr>
        <w:tc>
          <w:tcPr>
            <w:tcW w:type="dxa" w:w="312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Điểm Xanh/tháng</w:t>
            </w:r>
          </w:p>
        </w:tc>
        <w:tc>
          <w:tcPr>
            <w:tcW w:type="dxa" w:w="312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325,000 điểm</w:t>
            </w:r>
          </w:p>
        </w:tc>
        <w:tc>
          <w:tcPr>
            <w:tcW w:type="dxa" w:w="312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125,000 điểm</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CO₂ tiết kiệm/tháng</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325 kg (0.325 tCO₂e)</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125 kg (0.125 tCO₂e)</w:t>
            </w:r>
          </w:p>
        </w:tc>
      </w:tr>
      <w:tr>
        <w:tc>
          <w:tcPr>
            <w:tcW w:type="dxa" w:w="312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CO₂ tiết kiệm/năm</w:t>
            </w:r>
          </w:p>
        </w:tc>
        <w:tc>
          <w:tcPr>
            <w:tcW w:type="dxa" w:w="312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3.9 tCO₂e</w:t>
            </w:r>
          </w:p>
        </w:tc>
        <w:tc>
          <w:tcPr>
            <w:tcW w:type="dxa" w:w="312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1.5 tCO₂e</w:t>
            </w:r>
          </w:p>
        </w:tc>
      </w:tr>
    </w:tbl>
    <w:p>
      <w:pPr>
        <w:spacing w:after="0" w:before="160"/>
      </w:pPr>
      <w:r>
        <w:rPr>
          <w:rFonts w:ascii="Arial" w:cs="Arial" w:eastAsia="Arial" w:hAnsi="Arial"/>
          <w:b w:val="false"/>
          <w:bCs w:val="false"/>
          <w:i w:val="false"/>
          <w:iCs w:val="false"/>
          <w:color w:val="37474F"/>
          <w:sz w:val="22"/>
          <w:szCs w:val="22"/>
        </w:rPr>
        <w:t xml:space="preserve"/>
      </w:r>
    </w:p>
    <w:p>
      <w:pPr>
        <w:pStyle w:val="Heading2"/>
        <w:spacing w:after="120" w:before="320"/>
      </w:pPr>
      <w:r>
        <w:rPr>
          <w:rFonts w:ascii="Arial" w:cs="Arial" w:eastAsia="Arial" w:hAnsi="Arial"/>
          <w:b/>
          <w:bCs/>
          <w:color w:val="2E7D32"/>
          <w:sz w:val="28"/>
          <w:szCs w:val="28"/>
        </w:rPr>
        <w:t xml:space="preserve">3.4 Data sources — Ba lớp cross-validate</w:t>
      </w:r>
    </w:p>
    <w:p>
      <w:pPr>
        <w:pStyle w:val="ListParagraph"/>
        <w:numPr>
          <w:ilvl w:val="0"/>
          <w:numId w:val="2"/>
        </w:numPr>
        <w:spacing w:after="60" w:before="60"/>
      </w:pPr>
      <w:r>
        <w:rPr>
          <w:rFonts w:ascii="Arial" w:cs="Arial" w:eastAsia="Arial" w:hAnsi="Arial"/>
          <w:b/>
          <w:bCs/>
          <w:i w:val="false"/>
          <w:iCs w:val="false"/>
          <w:color w:val="37474F"/>
          <w:sz w:val="22"/>
          <w:szCs w:val="22"/>
        </w:rPr>
        <w:t xml:space="preserve">Lớp 1: </w:t>
      </w:r>
      <w:r>
        <w:rPr>
          <w:rFonts w:ascii="Arial" w:cs="Arial" w:eastAsia="Arial" w:hAnsi="Arial"/>
          <w:b w:val="false"/>
          <w:bCs w:val="false"/>
          <w:i w:val="false"/>
          <w:iCs w:val="false"/>
          <w:color w:val="37474F"/>
          <w:sz w:val="22"/>
          <w:szCs w:val="22"/>
        </w:rPr>
        <w:t xml:space="preserve">VinFast OBD/OTA API</w:t>
      </w:r>
    </w:p>
    <w:p>
      <w:pPr>
        <w:pStyle w:val="ListParagraph"/>
        <w:numPr>
          <w:ilvl w:val="0"/>
          <w:numId w:val="2"/>
        </w:numPr>
        <w:spacing w:after="60" w:before="60"/>
      </w:pPr>
      <w:r>
        <w:rPr>
          <w:rFonts w:ascii="Arial" w:cs="Arial" w:eastAsia="Arial" w:hAnsi="Arial"/>
          <w:b w:val="false"/>
          <w:bCs w:val="false"/>
          <w:i w:val="false"/>
          <w:iCs w:val="false"/>
          <w:color w:val="37474F"/>
          <w:sz w:val="22"/>
          <w:szCs w:val="22"/>
        </w:rPr>
        <w:t xml:space="preserve">Odometer thật từ xe, không fake được. Battery SoC xác định km dùng điện. GPS heatmap cho grid emission factor chính xác theo vùng.</w:t>
      </w:r>
    </w:p>
    <w:p>
      <w:pPr>
        <w:pStyle w:val="ListParagraph"/>
        <w:numPr>
          <w:ilvl w:val="0"/>
          <w:numId w:val="2"/>
        </w:numPr>
        <w:spacing w:after="60" w:before="60"/>
      </w:pPr>
      <w:r>
        <w:rPr>
          <w:rFonts w:ascii="Arial" w:cs="Arial" w:eastAsia="Arial" w:hAnsi="Arial"/>
          <w:b/>
          <w:bCs/>
          <w:i w:val="false"/>
          <w:iCs w:val="false"/>
          <w:color w:val="37474F"/>
          <w:sz w:val="22"/>
          <w:szCs w:val="22"/>
        </w:rPr>
        <w:t xml:space="preserve">Lớp 2: </w:t>
      </w:r>
      <w:r>
        <w:rPr>
          <w:rFonts w:ascii="Arial" w:cs="Arial" w:eastAsia="Arial" w:hAnsi="Arial"/>
          <w:b w:val="false"/>
          <w:bCs w:val="false"/>
          <w:i w:val="false"/>
          <w:iCs w:val="false"/>
          <w:color w:val="37474F"/>
          <w:sz w:val="22"/>
          <w:szCs w:val="22"/>
        </w:rPr>
        <w:t xml:space="preserve">GreenSM Trip Data</w:t>
      </w:r>
    </w:p>
    <w:p>
      <w:pPr>
        <w:pStyle w:val="ListParagraph"/>
        <w:numPr>
          <w:ilvl w:val="0"/>
          <w:numId w:val="2"/>
        </w:numPr>
        <w:spacing w:after="60" w:before="60"/>
      </w:pPr>
      <w:r>
        <w:rPr>
          <w:rFonts w:ascii="Arial" w:cs="Arial" w:eastAsia="Arial" w:hAnsi="Arial"/>
          <w:b w:val="false"/>
          <w:bCs w:val="false"/>
          <w:i w:val="false"/>
          <w:iCs w:val="false"/>
          <w:color w:val="37474F"/>
          <w:sz w:val="22"/>
          <w:szCs w:val="22"/>
        </w:rPr>
        <w:t xml:space="preserve">Phân tách paid km (chở khách) vs empty km. Timestamp từng chuyến → biết giờ sạc, giờ lăn bánh.</w:t>
      </w:r>
    </w:p>
    <w:p>
      <w:pPr>
        <w:pStyle w:val="ListParagraph"/>
        <w:numPr>
          <w:ilvl w:val="0"/>
          <w:numId w:val="2"/>
        </w:numPr>
        <w:spacing w:after="60" w:before="60"/>
      </w:pPr>
      <w:r>
        <w:rPr>
          <w:rFonts w:ascii="Arial" w:cs="Arial" w:eastAsia="Arial" w:hAnsi="Arial"/>
          <w:b/>
          <w:bCs/>
          <w:i w:val="false"/>
          <w:iCs w:val="false"/>
          <w:color w:val="37474F"/>
          <w:sz w:val="22"/>
          <w:szCs w:val="22"/>
        </w:rPr>
        <w:t xml:space="preserve">Lớp 3: </w:t>
      </w:r>
      <w:r>
        <w:rPr>
          <w:rFonts w:ascii="Arial" w:cs="Arial" w:eastAsia="Arial" w:hAnsi="Arial"/>
          <w:b w:val="false"/>
          <w:bCs w:val="false"/>
          <w:i w:val="false"/>
          <w:iCs w:val="false"/>
          <w:color w:val="37474F"/>
          <w:sz w:val="22"/>
          <w:szCs w:val="22"/>
        </w:rPr>
        <w:t xml:space="preserve">V-GREEN Charging Data</w:t>
      </w:r>
    </w:p>
    <w:p>
      <w:pPr>
        <w:pStyle w:val="ListParagraph"/>
        <w:numPr>
          <w:ilvl w:val="0"/>
          <w:numId w:val="2"/>
        </w:numPr>
        <w:spacing w:after="60" w:before="60"/>
      </w:pPr>
      <w:r>
        <w:rPr>
          <w:rFonts w:ascii="Arial" w:cs="Arial" w:eastAsia="Arial" w:hAnsi="Arial"/>
          <w:b w:val="false"/>
          <w:bCs w:val="false"/>
          <w:i w:val="false"/>
          <w:iCs w:val="false"/>
          <w:color w:val="37474F"/>
          <w:sz w:val="22"/>
          <w:szCs w:val="22"/>
        </w:rPr>
        <w:t xml:space="preserve">kWh thật đã sạc tại mỗi trạm. Grid emission factor theo thời điểm. Cross-validate với odometer.</w:t>
      </w:r>
    </w:p>
    <w:p>
      <w:pPr>
        <w:spacing w:after="0" w:before="160"/>
      </w:pPr>
      <w:r>
        <w:rPr>
          <w:rFonts w:ascii="Arial" w:cs="Arial" w:eastAsia="Arial" w:hAnsi="Arial"/>
          <w:b w:val="false"/>
          <w:bCs w:val="false"/>
          <w:i w:val="false"/>
          <w:iCs w:val="false"/>
          <w:color w:val="37474F"/>
          <w:sz w:val="22"/>
          <w:szCs w:val="22"/>
        </w:rPr>
        <w:t xml:space="preserve"/>
      </w:r>
    </w:p>
    <w:p>
      <w:pPr>
        <w:pStyle w:val="Heading2"/>
        <w:spacing w:after="120" w:before="320"/>
      </w:pPr>
      <w:r>
        <w:rPr>
          <w:rFonts w:ascii="Arial" w:cs="Arial" w:eastAsia="Arial" w:hAnsi="Arial"/>
          <w:b/>
          <w:bCs/>
          <w:color w:val="2E7D32"/>
          <w:sz w:val="28"/>
          <w:szCs w:val="28"/>
        </w:rPr>
        <w:t xml:space="preserve">3.5 Quy trình đăng ký &amp; vận 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5080"/>
      </w:tblGrid>
      <w:tr>
        <w:tc>
          <w:tcPr>
            <w:tcW w:type="dxa" w:w="12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Bước</w:t>
            </w:r>
          </w:p>
        </w:tc>
        <w:tc>
          <w:tcPr>
            <w:tcW w:type="dxa" w:w="308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Hoạt động</w:t>
            </w:r>
          </w:p>
        </w:tc>
        <w:tc>
          <w:tcPr>
            <w:tcW w:type="dxa" w:w="508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Kết quả</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w:t>
            </w:r>
          </w:p>
        </w:tc>
        <w:tc>
          <w:tcPr>
            <w:tcW w:type="dxa" w:w="3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Đăng ký VM0038 grouped project</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GreenSM được công nhận là Project Proponent tại Verra</w:t>
            </w:r>
          </w:p>
        </w:tc>
      </w:tr>
      <w:tr>
        <w:tc>
          <w:tcPr>
            <w:tcW w:type="dxa" w:w="1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2</w:t>
            </w:r>
          </w:p>
        </w:tc>
        <w:tc>
          <w:tcPr>
            <w:tcW w:type="dxa" w:w="308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Chọn VVB (Validation &amp; Verification Body)</w:t>
            </w:r>
          </w:p>
        </w:tc>
        <w:tc>
          <w:tcPr>
            <w:tcW w:type="dxa" w:w="508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DNV / SGS / Earthood — audit định kỳ 6 tháng</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3</w:t>
            </w:r>
          </w:p>
        </w:tc>
        <w:tc>
          <w:tcPr>
            <w:tcW w:type="dxa" w:w="3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Build MRV automation pipeline</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Telemetry → tính tCO₂e tự động mỗi ngày, không cần nhân công</w:t>
            </w:r>
          </w:p>
        </w:tc>
      </w:tr>
      <w:tr>
        <w:tc>
          <w:tcPr>
            <w:tcW w:type="dxa" w:w="1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4</w:t>
            </w:r>
          </w:p>
        </w:tc>
        <w:tc>
          <w:tcPr>
            <w:tcW w:type="dxa" w:w="308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Issuance VCUs</w:t>
            </w:r>
          </w:p>
        </w:tc>
        <w:tc>
          <w:tcPr>
            <w:tcW w:type="dxa" w:w="508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Verra cấp Verified Carbon Units sau audit — ~8 tháng từ khi track</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5</w:t>
            </w:r>
          </w:p>
        </w:tc>
        <w:tc>
          <w:tcPr>
            <w:tcW w:type="dxa" w:w="3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Bán credits đa kênh</w:t>
            </w:r>
          </w:p>
        </w:tc>
        <w:tc>
          <w:tcPr>
            <w:tcW w:type="dxa" w:w="5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Singapore corporate, VN ETS, CORSIA, voluntary buyers</w:t>
            </w:r>
          </w:p>
        </w:tc>
      </w:tr>
      <w:tr>
        <w:tc>
          <w:tcPr>
            <w:tcW w:type="dxa" w:w="1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6</w:t>
            </w:r>
          </w:p>
        </w:tc>
        <w:tc>
          <w:tcPr>
            <w:tcW w:type="dxa" w:w="308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Phân phối thưởng tài xế</w:t>
            </w:r>
          </w:p>
        </w:tc>
        <w:tc>
          <w:tcPr>
            <w:tcW w:type="dxa" w:w="508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60% quỹ → V-Smart Pay → tự động áp vào sản phẩm tài chính</w:t>
            </w:r>
          </w:p>
        </w:tc>
      </w:tr>
    </w:tbl>
    <w:p>
      <w:pPr>
        <w:spacing w:after="0" w:before="200"/>
      </w:pPr>
      <w:r>
        <w:rPr>
          <w:rFonts w:ascii="Arial" w:cs="Arial" w:eastAsia="Arial" w:hAnsi="Arial"/>
          <w:b w:val="false"/>
          <w:bCs w:val="false"/>
          <w:i w:val="false"/>
          <w:iCs w:val="false"/>
          <w:color w:val="37474F"/>
          <w:sz w:val="22"/>
          <w:szCs w:val="22"/>
        </w:rPr>
        <w:t xml:space="preserve"/>
      </w:r>
    </w:p>
    <w:p>
      <w:pPr>
        <w:pStyle w:val="Heading1"/>
        <w:pBdr>
          <w:bottom w:val="single" w:color="2E7D32" w:sz="8" w:space="6"/>
        </w:pBdr>
        <w:spacing w:after="160" w:before="400"/>
      </w:pPr>
      <w:r>
        <w:rPr>
          <w:rFonts w:ascii="Arial" w:cs="Arial" w:eastAsia="Arial" w:hAnsi="Arial"/>
          <w:b/>
          <w:bCs/>
          <w:color w:val="1B5E20"/>
          <w:sz w:val="36"/>
          <w:szCs w:val="36"/>
        </w:rPr>
        <w:t xml:space="preserve">4. Revenue Model — Carbon</w:t>
      </w:r>
    </w:p>
    <w:p>
      <w:pPr>
        <w:pStyle w:val="Heading2"/>
        <w:spacing w:after="120" w:before="320"/>
      </w:pPr>
      <w:r>
        <w:rPr>
          <w:rFonts w:ascii="Arial" w:cs="Arial" w:eastAsia="Arial" w:hAnsi="Arial"/>
          <w:b/>
          <w:bCs/>
          <w:color w:val="2E7D32"/>
          <w:sz w:val="28"/>
          <w:szCs w:val="28"/>
        </w:rPr>
        <w:t xml:space="preserve">4.1 Doanh thu carbon / tài xế / tháng</w:t>
      </w:r>
    </w:p>
    <w:p>
      <w:pPr>
        <w:spacing w:after="80" w:before="80"/>
        <w:jc w:val="left"/>
      </w:pPr>
      <w:r>
        <w:rPr>
          <w:rFonts w:ascii="Arial" w:cs="Arial" w:eastAsia="Arial" w:hAnsi="Arial"/>
          <w:b w:val="false"/>
          <w:bCs w:val="false"/>
          <w:i w:val="false"/>
          <w:iCs w:val="false"/>
          <w:color w:val="37474F"/>
          <w:sz w:val="22"/>
          <w:szCs w:val="22"/>
        </w:rPr>
        <w:t xml:space="preserve">Giá bán bình quân gia quyền: $23.5/tCO₂e (~599,000đ/tCO₂e), tỉ giá $1 = 25,500đ.</w:t>
      </w:r>
    </w:p>
    <w:p>
      <w:pPr>
        <w:spacing w:after="0" w:before="80"/>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Chỉ số</w:t>
            </w:r>
          </w:p>
        </w:tc>
        <w:tc>
          <w:tcPr>
            <w:tcW w:type="dxa" w:w="312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Ô tô điện</w:t>
            </w:r>
          </w:p>
        </w:tc>
        <w:tc>
          <w:tcPr>
            <w:tcW w:type="dxa" w:w="312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Xe máy điện</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tCO₂e/tháng</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0.325 tấn</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0.125 tấn</w:t>
            </w:r>
          </w:p>
        </w:tc>
      </w:tr>
      <w:tr>
        <w:tc>
          <w:tcPr>
            <w:tcW w:type="dxa" w:w="312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Gross carbon revenue/tháng</w:t>
            </w:r>
          </w:p>
        </w:tc>
        <w:tc>
          <w:tcPr>
            <w:tcW w:type="dxa" w:w="312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~195,000đ</w:t>
            </w:r>
          </w:p>
        </w:tc>
        <w:tc>
          <w:tcPr>
            <w:tcW w:type="dxa" w:w="312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~75,000đ</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GreenSM giữ 60%</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117,000đ</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45,000đ</w:t>
            </w:r>
          </w:p>
        </w:tc>
      </w:tr>
      <w:tr>
        <w:tc>
          <w:tcPr>
            <w:tcW w:type="dxa" w:w="312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Quỹ thưởng tài xế 40%</w:t>
            </w:r>
          </w:p>
        </w:tc>
        <w:tc>
          <w:tcPr>
            <w:tcW w:type="dxa" w:w="312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78,000đ</w:t>
            </w:r>
          </w:p>
        </w:tc>
        <w:tc>
          <w:tcPr>
            <w:tcW w:type="dxa" w:w="312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30,000đ</w:t>
            </w:r>
          </w:p>
        </w:tc>
      </w:tr>
    </w:tbl>
    <w:p>
      <w:pPr>
        <w:spacing w:after="0" w:before="160"/>
      </w:pPr>
      <w:r>
        <w:rPr>
          <w:rFonts w:ascii="Arial" w:cs="Arial" w:eastAsia="Arial" w:hAnsi="Arial"/>
          <w:b w:val="false"/>
          <w:bCs w:val="false"/>
          <w:i w:val="false"/>
          <w:iCs w:val="false"/>
          <w:color w:val="37474F"/>
          <w:sz w:val="22"/>
          <w:szCs w:val="22"/>
        </w:rPr>
        <w:t xml:space="preserve"/>
      </w:r>
    </w:p>
    <w:p>
      <w:pPr>
        <w:pStyle w:val="Heading2"/>
        <w:spacing w:after="120" w:before="320"/>
      </w:pPr>
      <w:r>
        <w:rPr>
          <w:rFonts w:ascii="Arial" w:cs="Arial" w:eastAsia="Arial" w:hAnsi="Arial"/>
          <w:b/>
          <w:bCs/>
          <w:color w:val="2E7D32"/>
          <w:sz w:val="28"/>
          <w:szCs w:val="28"/>
        </w:rPr>
        <w:t xml:space="preserve">4.2 Phân bổ quỹ thưởng tài xế (40%)</w:t>
      </w:r>
    </w:p>
    <w:p>
      <w:pPr>
        <w:spacing w:after="80" w:before="80"/>
        <w:jc w:val="left"/>
      </w:pPr>
      <w:r>
        <w:rPr>
          <w:rFonts w:ascii="Arial" w:cs="Arial" w:eastAsia="Arial" w:hAnsi="Arial"/>
          <w:b w:val="false"/>
          <w:bCs w:val="false"/>
          <w:i w:val="false"/>
          <w:iCs w:val="false"/>
          <w:color w:val="37474F"/>
          <w:sz w:val="22"/>
          <w:szCs w:val="22"/>
        </w:rPr>
        <w:t xml:space="preserve">Quỹ thưởng được phân bổ tự động vào 3 sản phẩm theo tỉ lệ cố định. Tài xế không cần đổi điểm — hệ thống tự áp dụng mỗi tháng.</w:t>
      </w:r>
    </w:p>
    <w:p>
      <w:pPr>
        <w:spacing w:after="0" w:before="80"/>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00"/>
        <w:gridCol w:w="2200"/>
        <w:gridCol w:w="2200"/>
      </w:tblGrid>
      <w:tr>
        <w:tc>
          <w:tcPr>
            <w:tcW w:type="dxa" w:w="356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Sản phẩm thưởng</w:t>
            </w:r>
          </w:p>
        </w:tc>
        <w:tc>
          <w:tcPr>
            <w:tcW w:type="dxa" w:w="14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Tỉ lệ</w:t>
            </w:r>
          </w:p>
        </w:tc>
        <w:tc>
          <w:tcPr>
            <w:tcW w:type="dxa" w:w="22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Ô tô điện/tháng</w:t>
            </w:r>
          </w:p>
        </w:tc>
        <w:tc>
          <w:tcPr>
            <w:tcW w:type="dxa" w:w="22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Xe máy điện/tháng</w:t>
            </w:r>
          </w:p>
        </w:tc>
      </w:tr>
      <w:tr>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Giảm phí ứng lương / ứng doanh thu</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57%</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~44,460đ</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~17,100đ</w:t>
            </w:r>
          </w:p>
        </w:tc>
      </w:tr>
      <w:tr>
        <w:tc>
          <w:tcPr>
            <w:tcW w:type="dxa" w:w="35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Giảm phí bảo hiểm</w:t>
            </w:r>
          </w:p>
        </w:tc>
        <w:tc>
          <w:tcPr>
            <w:tcW w:type="dxa" w:w="1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31%</w:t>
            </w:r>
          </w:p>
        </w:tc>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~24,180đ</w:t>
            </w:r>
          </w:p>
        </w:tc>
        <w:tc>
          <w:tcPr>
            <w:tcW w:type="dxa" w:w="2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~9,300đ</w:t>
            </w:r>
          </w:p>
        </w:tc>
      </w:tr>
      <w:tr>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Voucher sạc V-GREEN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12%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~9,360đ</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~3,600đ</w:t>
            </w:r>
          </w:p>
        </w:tc>
      </w:tr>
      <w:tr>
        <w:tc>
          <w:tcPr>
            <w:tcW w:type="dxa" w:w="35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TỔNG</w:t>
            </w:r>
          </w:p>
        </w:tc>
        <w:tc>
          <w:tcPr>
            <w:tcW w:type="dxa" w:w="14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2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~78,000đ</w:t>
            </w:r>
          </w:p>
        </w:tc>
        <w:tc>
          <w:tcPr>
            <w:tcW w:type="dxa" w:w="2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~30,000đ</w:t>
            </w:r>
          </w:p>
        </w:tc>
      </w:tr>
    </w:tbl>
    <w:p>
      <w:pPr>
        <w:spacing w:after="0" w:before="160"/>
      </w:pPr>
      <w:r>
        <w:rPr>
          <w:rFonts w:ascii="Arial" w:cs="Arial" w:eastAsia="Arial" w:hAnsi="Arial"/>
          <w:b w:val="false"/>
          <w:bCs w:val="false"/>
          <w:i w:val="false"/>
          <w:iCs w:val="false"/>
          <w:color w:val="37474F"/>
          <w:sz w:val="22"/>
          <w:szCs w:val="22"/>
        </w:rPr>
        <w:t xml:space="preserve"/>
      </w:r>
    </w:p>
    <w:p>
      <w:pPr>
        <w:pStyle w:val="Heading2"/>
        <w:spacing w:after="120" w:before="320"/>
      </w:pPr>
      <w:r>
        <w:rPr>
          <w:rFonts w:ascii="Arial" w:cs="Arial" w:eastAsia="Arial" w:hAnsi="Arial"/>
          <w:b/>
          <w:bCs/>
          <w:color w:val="2E7D32"/>
          <w:sz w:val="28"/>
          <w:szCs w:val="28"/>
        </w:rPr>
        <w:t xml:space="preserve">4.3 P&amp;L Carbon toàn fleet (40,000 tài xế — 60% ô tô, 40% xe máy)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Khoản mục</w:t>
            </w:r>
          </w:p>
        </w:tc>
        <w:tc>
          <w:tcPr>
            <w:tcW w:type="dxa" w:w="40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Giá trị / tháng</w:t>
            </w:r>
          </w:p>
        </w:tc>
      </w:tr>
      <w:tr>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Gross carbon — ô tô (24,000 xe × 195,000đ)</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37474F"/>
                <w:sz w:val="20"/>
                <w:szCs w:val="20"/>
              </w:rPr>
              <w:t xml:space="preserve">4,680,000,000đ</w:t>
            </w:r>
          </w:p>
        </w:tc>
      </w:tr>
      <w:tr>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Gross carbon — xe máy (16,000 xe × 75,000đ)</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37474F"/>
                <w:sz w:val="20"/>
                <w:szCs w:val="20"/>
              </w:rPr>
              <w:t xml:space="preserve">1,200,000,000đ</w:t>
            </w:r>
          </w:p>
        </w:tc>
      </w:tr>
      <w:tr>
        <w:tc>
          <w:tcPr>
            <w:tcW w:type="dxa" w:w="536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TỔNG GROSS CARBON REVENUE</w:t>
            </w:r>
          </w:p>
        </w:tc>
        <w:tc>
          <w:tcPr>
            <w:tcW w:type="dxa" w:w="4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right"/>
            </w:pPr>
            <w:r>
              <w:rPr>
                <w:rFonts w:ascii="Arial" w:cs="Arial" w:eastAsia="Arial" w:hAnsi="Arial"/>
                <w:b/>
                <w:bCs/>
                <w:color w:val="1B5E20"/>
                <w:sz w:val="20"/>
                <w:szCs w:val="20"/>
              </w:rPr>
              <w:t xml:space="preserve">5,880,000,000đ (~5.88 tỷ)</w:t>
            </w:r>
          </w:p>
        </w:tc>
      </w:tr>
      <w:tr>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GreenSM giữ 60%</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right"/>
            </w:pPr>
            <w:r>
              <w:rPr>
                <w:rFonts w:ascii="Arial" w:cs="Arial" w:eastAsia="Arial" w:hAnsi="Arial"/>
                <w:b/>
                <w:bCs/>
                <w:color w:val="1B5E20"/>
                <w:sz w:val="20"/>
                <w:szCs w:val="20"/>
              </w:rPr>
              <w:t xml:space="preserve">3,528,000,000đ (~3.53 tỷ)</w:t>
            </w:r>
          </w:p>
        </w:tc>
      </w:tr>
      <w:tr>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Quỹ thưởng tài xế 40%</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right"/>
            </w:pPr>
            <w:r>
              <w:rPr>
                <w:rFonts w:ascii="Arial" w:cs="Arial" w:eastAsia="Arial" w:hAnsi="Arial"/>
                <w:b/>
                <w:bCs/>
                <w:color w:val="1B5E20"/>
                <w:sz w:val="20"/>
                <w:szCs w:val="20"/>
              </w:rPr>
              <w:t xml:space="preserve">2,352,000,000đ (~2.35 tỷ)</w:t>
            </w:r>
          </w:p>
        </w:tc>
      </w:tr>
      <w:tr>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  – Giảm phí ứng (57%)</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37474F"/>
                <w:sz w:val="20"/>
                <w:szCs w:val="20"/>
              </w:rPr>
              <w:t xml:space="preserve">1,340,640,000đ</w:t>
            </w:r>
          </w:p>
        </w:tc>
      </w:tr>
      <w:tr>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  – Giảm phí BH (31%)</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37474F"/>
                <w:sz w:val="20"/>
                <w:szCs w:val="20"/>
              </w:rPr>
              <w:t xml:space="preserve">729,120,000đ</w:t>
            </w:r>
          </w:p>
        </w:tc>
      </w:tr>
      <w:tr>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  – Voucher sạc (12%)</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37474F"/>
                <w:sz w:val="20"/>
                <w:szCs w:val="20"/>
              </w:rPr>
              <w:t xml:space="preserve">282,240,000đ</w:t>
            </w:r>
          </w:p>
        </w:tc>
      </w:tr>
      <w:tr>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Dư/thiếu quỹ thưởng</w:t>
            </w:r>
          </w:p>
        </w:tc>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right"/>
            </w:pPr>
            <w:r>
              <w:rPr>
                <w:rFonts w:ascii="Arial" w:cs="Arial" w:eastAsia="Arial" w:hAnsi="Arial"/>
                <w:b/>
                <w:bCs/>
                <w:color w:val="1B5E20"/>
                <w:sz w:val="20"/>
                <w:szCs w:val="20"/>
              </w:rPr>
              <w:t xml:space="preserve">0đ ✓ Break-even hoàn toàn</w:t>
            </w:r>
          </w:p>
        </w:tc>
      </w:tr>
    </w:tbl>
    <w:p>
      <w:pPr>
        <w:spacing w:after="0" w:before="160"/>
      </w:pPr>
      <w:r>
        <w:rPr>
          <w:rFonts w:ascii="Arial" w:cs="Arial" w:eastAsia="Arial" w:hAnsi="Arial"/>
          <w:b w:val="false"/>
          <w:bCs w:val="false"/>
          <w:i w:val="false"/>
          <w:iCs w:val="false"/>
          <w:color w:val="37474F"/>
          <w:sz w:val="22"/>
          <w:szCs w:val="22"/>
        </w:rPr>
        <w:t xml:space="preserve"/>
      </w:r>
    </w:p>
    <w:p>
      <w:pPr>
        <w:pStyle w:val="Heading2"/>
        <w:spacing w:after="120" w:before="320"/>
      </w:pPr>
      <w:r>
        <w:rPr>
          <w:rFonts w:ascii="Arial" w:cs="Arial" w:eastAsia="Arial" w:hAnsi="Arial"/>
          <w:b/>
          <w:bCs/>
          <w:color w:val="2E7D32"/>
          <w:sz w:val="28"/>
          <w:szCs w:val="28"/>
        </w:rPr>
        <w:t xml:space="preserve">4.4 Mix kênh bán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1800"/>
        <w:gridCol w:w="3000"/>
      </w:tblGrid>
      <w:tr>
        <w:tc>
          <w:tcPr>
            <w:tcW w:type="dxa" w:w="276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Kênh</w:t>
            </w:r>
          </w:p>
        </w:tc>
        <w:tc>
          <w:tcPr>
            <w:tcW w:type="dxa" w:w="18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Giá</w:t>
            </w:r>
          </w:p>
        </w:tc>
        <w:tc>
          <w:tcPr>
            <w:tcW w:type="dxa" w:w="18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Tỉ trọng</w:t>
            </w:r>
          </w:p>
        </w:tc>
        <w:tc>
          <w:tcPr>
            <w:tcW w:type="dxa" w:w="30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Lý do chọn</w:t>
            </w:r>
          </w:p>
        </w:tc>
      </w:tr>
      <w:tr>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Singapore carbon tax</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$35/tấn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50%</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Giá cao nhất, IGA đã ký, export được</w:t>
            </w:r>
          </w:p>
        </w:tc>
      </w:tr>
      <w:tr>
        <w:tc>
          <w:tcPr>
            <w:tcW w:type="dxa" w:w="27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Vietnam ETS (Decree 29)</w:t>
            </w:r>
          </w:p>
        </w:tc>
        <w:tc>
          <w:tcPr>
            <w:tcW w:type="dxa" w:w="1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$10/tấn</w:t>
            </w:r>
          </w:p>
        </w:tc>
        <w:tc>
          <w:tcPr>
            <w:tcW w:type="dxa" w:w="1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30%</w:t>
            </w:r>
          </w:p>
        </w:tc>
        <w:tc>
          <w:tcPr>
            <w:tcW w:type="dxa" w:w="3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Domestic, dễ compliance, ít risk</w:t>
            </w:r>
          </w:p>
        </w:tc>
      </w:tr>
      <w:tr>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Voluntary / CORSIA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$15/tấn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20%</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Bán B2B cho MNCs ESG hoặc aviation</w:t>
            </w:r>
          </w:p>
        </w:tc>
      </w:tr>
      <w:tr>
        <w:tc>
          <w:tcPr>
            <w:tcW w:type="dxa" w:w="276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Bình quân gia quyền</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$23.5/tấn</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100%</w:t>
            </w:r>
          </w:p>
        </w:tc>
        <w:tc>
          <w:tcPr>
            <w:tcW w:type="dxa" w:w="3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
            </w:r>
          </w:p>
        </w:tc>
      </w:tr>
    </w:tbl>
    <w:p>
      <w:pPr>
        <w:spacing w:after="0" w:before="200"/>
      </w:pPr>
      <w:r>
        <w:rPr>
          <w:rFonts w:ascii="Arial" w:cs="Arial" w:eastAsia="Arial" w:hAnsi="Arial"/>
          <w:b w:val="false"/>
          <w:bCs w:val="false"/>
          <w:i w:val="false"/>
          <w:iCs w:val="false"/>
          <w:color w:val="37474F"/>
          <w:sz w:val="22"/>
          <w:szCs w:val="22"/>
        </w:rPr>
        <w:t xml:space="preserve"/>
      </w:r>
    </w:p>
    <w:p>
      <w:pPr>
        <w:pStyle w:val="Heading1"/>
        <w:pBdr>
          <w:bottom w:val="single" w:color="2E7D32" w:sz="8" w:space="6"/>
        </w:pBdr>
        <w:spacing w:after="160" w:before="400"/>
      </w:pPr>
      <w:r>
        <w:rPr>
          <w:rFonts w:ascii="Arial" w:cs="Arial" w:eastAsia="Arial" w:hAnsi="Arial"/>
          <w:b/>
          <w:bCs/>
          <w:color w:val="1B5E20"/>
          <w:sz w:val="36"/>
          <w:szCs w:val="36"/>
        </w:rPr>
        <w:t xml:space="preserve">5. Điểm Xanh — Cơ chế Thưởng Tài xế</w:t>
      </w:r>
    </w:p>
    <w:p>
      <w:pPr>
        <w:pStyle w:val="Heading2"/>
        <w:spacing w:after="120" w:before="320"/>
      </w:pPr>
      <w:r>
        <w:rPr>
          <w:rFonts w:ascii="Arial" w:cs="Arial" w:eastAsia="Arial" w:hAnsi="Arial"/>
          <w:b/>
          <w:bCs/>
          <w:color w:val="2E7D32"/>
          <w:sz w:val="28"/>
          <w:szCs w:val="28"/>
        </w:rPr>
        <w:t xml:space="preserve">5.1 Nguyên tắc thiết kế</w:t>
      </w:r>
    </w:p>
    <w:p>
      <w:pPr>
        <w:pStyle w:val="ListParagraph"/>
        <w:numPr>
          <w:ilvl w:val="0"/>
          <w:numId w:val="2"/>
        </w:numPr>
        <w:spacing w:after="60" w:before="60"/>
      </w:pPr>
      <w:r>
        <w:rPr>
          <w:rFonts w:ascii="Arial" w:cs="Arial" w:eastAsia="Arial" w:hAnsi="Arial"/>
          <w:b w:val="false"/>
          <w:bCs w:val="false"/>
          <w:i w:val="false"/>
          <w:iCs w:val="false"/>
          <w:color w:val="37474F"/>
          <w:sz w:val="22"/>
          <w:szCs w:val="22"/>
        </w:rPr>
        <w:t xml:space="preserve">Điểm Xanh không phải currency riêng — là lớp giảm chi phí tự động chạy trên các sản phẩm hiện có.</w:t>
      </w:r>
    </w:p>
    <w:p>
      <w:pPr>
        <w:pStyle w:val="ListParagraph"/>
        <w:numPr>
          <w:ilvl w:val="0"/>
          <w:numId w:val="2"/>
        </w:numPr>
        <w:spacing w:after="60" w:before="60"/>
      </w:pPr>
      <w:r>
        <w:rPr>
          <w:rFonts w:ascii="Arial" w:cs="Arial" w:eastAsia="Arial" w:hAnsi="Arial"/>
          <w:b w:val="false"/>
          <w:bCs w:val="false"/>
          <w:i w:val="false"/>
          <w:iCs w:val="false"/>
          <w:color w:val="37474F"/>
          <w:sz w:val="22"/>
          <w:szCs w:val="22"/>
        </w:rPr>
        <w:t xml:space="preserve">Tài xế chỉ thấy "điểm" trong app — không thấy tỉ lệ quy đổi, không thấy cơ chế tính toán.</w:t>
      </w:r>
    </w:p>
    <w:p>
      <w:pPr>
        <w:pStyle w:val="ListParagraph"/>
        <w:numPr>
          <w:ilvl w:val="0"/>
          <w:numId w:val="2"/>
        </w:numPr>
        <w:spacing w:after="60" w:before="60"/>
      </w:pPr>
      <w:r>
        <w:rPr>
          <w:rFonts w:ascii="Arial" w:cs="Arial" w:eastAsia="Arial" w:hAnsi="Arial"/>
          <w:b w:val="false"/>
          <w:bCs w:val="false"/>
          <w:i w:val="false"/>
          <w:iCs w:val="false"/>
          <w:color w:val="37474F"/>
          <w:sz w:val="22"/>
          <w:szCs w:val="22"/>
        </w:rPr>
        <w:t xml:space="preserve">Thưởng áp tự động mỗi tháng — tài xế không cần "đổi điểm", không cần chọn.</w:t>
      </w:r>
    </w:p>
    <w:p>
      <w:pPr>
        <w:pStyle w:val="ListParagraph"/>
        <w:numPr>
          <w:ilvl w:val="0"/>
          <w:numId w:val="2"/>
        </w:numPr>
        <w:spacing w:after="60" w:before="60"/>
      </w:pPr>
      <w:r>
        <w:rPr>
          <w:rFonts w:ascii="Arial" w:cs="Arial" w:eastAsia="Arial" w:hAnsi="Arial"/>
          <w:b w:val="false"/>
          <w:bCs w:val="false"/>
          <w:i w:val="false"/>
          <w:iCs w:val="false"/>
          <w:color w:val="37474F"/>
          <w:sz w:val="22"/>
          <w:szCs w:val="22"/>
        </w:rPr>
        <w:t xml:space="preserve">Không rút thành tiền mặt — nhưng phải cảm giác như tiền thật qua số VND tiết kiệm hiển thị.</w:t>
      </w:r>
    </w:p>
    <w:p>
      <w:pPr>
        <w:spacing w:after="0" w:before="120"/>
      </w:pPr>
      <w:r>
        <w:rPr>
          <w:rFonts w:ascii="Arial" w:cs="Arial" w:eastAsia="Arial" w:hAnsi="Arial"/>
          <w:b w:val="false"/>
          <w:bCs w:val="false"/>
          <w:i w:val="false"/>
          <w:iCs w:val="false"/>
          <w:color w:val="37474F"/>
          <w:sz w:val="22"/>
          <w:szCs w:val="22"/>
        </w:rPr>
        <w:t xml:space="preserve"/>
      </w:r>
    </w:p>
    <w:p>
      <w:pPr>
        <w:pStyle w:val="Heading2"/>
        <w:spacing w:after="120" w:before="320"/>
      </w:pPr>
      <w:r>
        <w:rPr>
          <w:rFonts w:ascii="Arial" w:cs="Arial" w:eastAsia="Arial" w:hAnsi="Arial"/>
          <w:b/>
          <w:bCs/>
          <w:color w:val="2E7D32"/>
          <w:sz w:val="28"/>
          <w:szCs w:val="28"/>
        </w:rPr>
        <w:t xml:space="preserve">5.2 Hiển thị trong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F8E9" w:val="clear"/>
            <w:tcMar>
              <w:top w:type="dxa" w:w="100"/>
              <w:left w:type="dxa" w:w="160"/>
              <w:bottom w:type="dxa" w:w="100"/>
              <w:right w:type="dxa" w:w="160"/>
            </w:tcMar>
          </w:tcPr>
          <w:p>
            <w:r>
              <w:rPr>
                <w:rFonts w:ascii="Arial" w:cs="Arial" w:eastAsia="Arial" w:hAnsi="Arial"/>
                <w:b/>
                <w:bCs/>
                <w:color w:val="1B5E20"/>
                <w:sz w:val="20"/>
                <w:szCs w:val="20"/>
              </w:rPr>
              <w:t xml:space="preserve">Màn hình Điểm Xanh</w:t>
            </w:r>
          </w:p>
        </w:tc>
        <w:tc>
          <w:tcPr>
            <w:tcW w:type="dxa" w:w="7360"/>
            <w:tcBorders>
              <w:top w:val="none" w:color="FFFFFF" w:sz="0"/>
              <w:left w:val="none" w:color="FFFFFF" w:sz="0"/>
              <w:bottom w:val="none" w:color="FFFFFF" w:sz="0"/>
              <w:right w:val="none" w:color="FFFFFF" w:sz="0"/>
            </w:tcBorders>
            <w:shd w:fill="F1F8E9" w:val="clear"/>
            <w:tcMar>
              <w:top w:type="dxa" w:w="100"/>
              <w:left w:type="dxa" w:w="160"/>
              <w:bottom w:type="dxa" w:w="100"/>
              <w:right w:type="dxa" w:w="160"/>
            </w:tcMar>
          </w:tcPr>
          <w:p>
            <w:r>
              <w:rPr>
                <w:rFonts w:ascii="Arial" w:cs="Arial" w:eastAsia="Arial" w:hAnsi="Arial"/>
                <w:color w:val="37474F"/>
                <w:sz w:val="20"/>
                <w:szCs w:val="20"/>
              </w:rPr>
              <w:t xml:space="preserve">"Tháng 4: 325,000 Điểm Xanh — Tự động áp dụng: Giảm 44,460đ phí ứng · Giảm 24,180đ phí BH · 9,360đ voucher sạc"</w:t>
            </w:r>
          </w:p>
        </w:tc>
      </w:tr>
    </w:tbl>
    <w:p>
      <w:pPr>
        <w:spacing w:after="0" w:before="80"/>
      </w:pPr>
      <w:r>
        <w:rPr>
          <w:rFonts w:ascii="Arial" w:cs="Arial" w:eastAsia="Arial" w:hAnsi="Arial"/>
          <w:b w:val="false"/>
          <w:bCs w:val="false"/>
          <w:i w:val="false"/>
          <w:iCs w:val="false"/>
          <w:color w:val="37474F"/>
          <w:sz w:val="22"/>
          <w:szCs w:val="22"/>
        </w:rPr>
        <w:t xml:space="preserve"/>
      </w:r>
    </w:p>
    <w:p>
      <w:pPr>
        <w:spacing w:after="80" w:before="80"/>
        <w:jc w:val="left"/>
      </w:pPr>
      <w:r>
        <w:rPr>
          <w:rFonts w:ascii="Arial" w:cs="Arial" w:eastAsia="Arial" w:hAnsi="Arial"/>
          <w:b w:val="false"/>
          <w:bCs w:val="false"/>
          <w:i w:val="false"/>
          <w:iCs w:val="false"/>
          <w:color w:val="37474F"/>
          <w:sz w:val="22"/>
          <w:szCs w:val="22"/>
        </w:rPr>
        <w:t xml:space="preserve">Tài xế luôn thấy số VND cụ thể — không phải điểm trừu tượng. Đây là nguyên tắc UX quan trọng nhất.</w:t>
      </w:r>
    </w:p>
    <w:p>
      <w:pPr>
        <w:spacing w:after="0" w:before="120"/>
      </w:pPr>
      <w:r>
        <w:rPr>
          <w:rFonts w:ascii="Arial" w:cs="Arial" w:eastAsia="Arial" w:hAnsi="Arial"/>
          <w:b w:val="false"/>
          <w:bCs w:val="false"/>
          <w:i w:val="false"/>
          <w:iCs w:val="false"/>
          <w:color w:val="37474F"/>
          <w:sz w:val="22"/>
          <w:szCs w:val="22"/>
        </w:rPr>
        <w:t xml:space="preserve"/>
      </w:r>
    </w:p>
    <w:p>
      <w:pPr>
        <w:pStyle w:val="Heading2"/>
        <w:spacing w:after="120" w:before="320"/>
      </w:pPr>
      <w:r>
        <w:rPr>
          <w:rFonts w:ascii="Arial" w:cs="Arial" w:eastAsia="Arial" w:hAnsi="Arial"/>
          <w:b/>
          <w:bCs/>
          <w:color w:val="2E7D32"/>
          <w:sz w:val="28"/>
          <w:szCs w:val="28"/>
        </w:rPr>
        <w:t xml:space="preserve">5.3 Ba cách dùng Điểm Xanh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3200"/>
        <w:gridCol w:w="3200"/>
      </w:tblGrid>
      <w:tr>
        <w:tc>
          <w:tcPr>
            <w:tcW w:type="dxa" w:w="4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56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Sản phẩm</w:t>
            </w:r>
          </w:p>
        </w:tc>
        <w:tc>
          <w:tcPr>
            <w:tcW w:type="dxa" w:w="32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Cơ chế</w:t>
            </w:r>
          </w:p>
        </w:tc>
        <w:tc>
          <w:tcPr>
            <w:tcW w:type="dxa" w:w="32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Giới hạn</w:t>
            </w:r>
          </w:p>
        </w:tc>
      </w:tr>
      <w:tr>
        <w:tc>
          <w:tcPr>
            <w:tcW w:type="dxa" w:w="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Giảm phí ứng lương / ứng doanh thu</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57% quỹ tháng → offset phí ứng tháng đó</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Tối đa bằng phí ứng thực tế phát sinh</w:t>
            </w:r>
          </w:p>
        </w:tc>
      </w:tr>
      <w:tr>
        <w:tc>
          <w:tcPr>
            <w:tcW w:type="dxa" w:w="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2</w:t>
            </w:r>
          </w:p>
        </w:tc>
        <w:tc>
          <w:tcPr>
            <w:tcW w:type="dxa" w:w="25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Giảm phí bảo hiểm</w:t>
            </w:r>
          </w:p>
        </w:tc>
        <w:tc>
          <w:tcPr>
            <w:tcW w:type="dxa" w:w="3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31% quỹ tháng → giảm trực tiếp vào hóa đơn BH</w:t>
            </w:r>
          </w:p>
        </w:tc>
        <w:tc>
          <w:tcPr>
            <w:tcW w:type="dxa" w:w="3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Tối đa bằng phí BH tháng đó</w:t>
            </w:r>
          </w:p>
        </w:tc>
      </w:tr>
      <w:tr>
        <w:tc>
          <w:tcPr>
            <w:tcW w:type="dxa" w:w="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3</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Voucher sạc V-GREEN</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12% quỹ tháng → credit vào tài khoản sạc</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Tích lũy tối đa 3 tháng nếu chưa dùng</w:t>
            </w:r>
          </w:p>
        </w:tc>
      </w:tr>
    </w:tbl>
    <w:p>
      <w:pPr>
        <w:spacing w:after="0" w:before="120"/>
      </w:pPr>
      <w:r>
        <w:rPr>
          <w:rFonts w:ascii="Arial" w:cs="Arial" w:eastAsia="Arial" w:hAnsi="Arial"/>
          <w:b w:val="false"/>
          <w:bCs w:val="false"/>
          <w:i w:val="false"/>
          <w:iCs w:val="false"/>
          <w:color w:val="37474F"/>
          <w:sz w:val="22"/>
          <w:szCs w:val="22"/>
        </w:rPr>
        <w:t xml:space="preserve"/>
      </w:r>
    </w:p>
    <w:p>
      <w:pPr>
        <w:pStyle w:val="Heading2"/>
        <w:spacing w:after="120" w:before="320"/>
      </w:pPr>
      <w:r>
        <w:rPr>
          <w:rFonts w:ascii="Arial" w:cs="Arial" w:eastAsia="Arial" w:hAnsi="Arial"/>
          <w:b/>
          <w:bCs/>
          <w:color w:val="2E7D32"/>
          <w:sz w:val="28"/>
          <w:szCs w:val="28"/>
        </w:rPr>
        <w:t xml:space="preserve">5.4 Cơ chế bảo vệ — Không lỗ khi giá carbon biến động</w:t>
      </w:r>
    </w:p>
    <w:p>
      <w:pPr>
        <w:pStyle w:val="ListParagraph"/>
        <w:numPr>
          <w:ilvl w:val="0"/>
          <w:numId w:val="2"/>
        </w:numPr>
        <w:spacing w:after="60" w:before="60"/>
      </w:pPr>
      <w:r>
        <w:rPr>
          <w:rFonts w:ascii="Arial" w:cs="Arial" w:eastAsia="Arial" w:hAnsi="Arial"/>
          <w:b w:val="false"/>
          <w:bCs w:val="false"/>
          <w:i w:val="false"/>
          <w:iCs w:val="false"/>
          <w:color w:val="37474F"/>
          <w:sz w:val="22"/>
          <w:szCs w:val="22"/>
        </w:rPr>
        <w:t xml:space="preserve">Van 1 — Quỹ thưởng thực thu: Quỹ = carbon revenue thật tháng đó × 40%. Tháng giá carbon thấp → quỹ nhỏ hơn. Không cam kết số cố định.</w:t>
      </w:r>
    </w:p>
    <w:p>
      <w:pPr>
        <w:pStyle w:val="ListParagraph"/>
        <w:numPr>
          <w:ilvl w:val="0"/>
          <w:numId w:val="2"/>
        </w:numPr>
        <w:spacing w:after="60" w:before="60"/>
      </w:pPr>
      <w:r>
        <w:rPr>
          <w:rFonts w:ascii="Arial" w:cs="Arial" w:eastAsia="Arial" w:hAnsi="Arial"/>
          <w:b w:val="false"/>
          <w:bCs w:val="false"/>
          <w:i w:val="false"/>
          <w:iCs w:val="false"/>
          <w:color w:val="37474F"/>
          <w:sz w:val="22"/>
          <w:szCs w:val="22"/>
        </w:rPr>
        <w:t xml:space="preserve">Van 2 — Forward contract 70%: Bán 70% credits theo hợp đồng dài hạn 6–12 tháng ở giá $28–32/tấn. Chỉ 30% bán spot → lock 85% revenue.</w:t>
      </w:r>
    </w:p>
    <w:p>
      <w:pPr>
        <w:pStyle w:val="ListParagraph"/>
        <w:numPr>
          <w:ilvl w:val="0"/>
          <w:numId w:val="2"/>
        </w:numPr>
        <w:spacing w:after="60" w:before="60"/>
      </w:pPr>
      <w:r>
        <w:rPr>
          <w:rFonts w:ascii="Arial" w:cs="Arial" w:eastAsia="Arial" w:hAnsi="Arial"/>
          <w:b w:val="false"/>
          <w:bCs w:val="false"/>
          <w:i w:val="false"/>
          <w:iCs w:val="false"/>
          <w:color w:val="37474F"/>
          <w:sz w:val="22"/>
          <w:szCs w:val="22"/>
        </w:rPr>
        <w:t xml:space="preserve">Van 3 — Delay 1 tháng: Credits tháng N được xác nhận và phân bổ vào tháng N+1. GreenSM bán credits trước khi cam kết thưởng.</w:t>
      </w:r>
    </w:p>
    <w:p>
      <w:pPr>
        <w:spacing w:after="0" w:before="200"/>
      </w:pPr>
      <w:r>
        <w:rPr>
          <w:rFonts w:ascii="Arial" w:cs="Arial" w:eastAsia="Arial" w:hAnsi="Arial"/>
          <w:b w:val="false"/>
          <w:bCs w:val="false"/>
          <w:i w:val="false"/>
          <w:iCs w:val="false"/>
          <w:color w:val="37474F"/>
          <w:sz w:val="22"/>
          <w:szCs w:val="22"/>
        </w:rPr>
        <w:t xml:space="preserve"/>
      </w:r>
    </w:p>
    <w:p>
      <w:pPr>
        <w:pStyle w:val="Heading1"/>
        <w:pBdr>
          <w:bottom w:val="single" w:color="2E7D32" w:sz="8" w:space="6"/>
        </w:pBdr>
        <w:spacing w:after="160" w:before="400"/>
      </w:pPr>
      <w:r>
        <w:rPr>
          <w:rFonts w:ascii="Arial" w:cs="Arial" w:eastAsia="Arial" w:hAnsi="Arial"/>
          <w:b/>
          <w:bCs/>
          <w:color w:val="1B5E20"/>
          <w:sz w:val="36"/>
          <w:szCs w:val="36"/>
        </w:rPr>
        <w:t xml:space="preserve">6. Roadmap Triển khai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Giai đoạn</w:t>
            </w:r>
          </w:p>
        </w:tc>
        <w:tc>
          <w:tcPr>
            <w:tcW w:type="dxa" w:w="20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Thời gian</w:t>
            </w:r>
          </w:p>
        </w:tc>
        <w:tc>
          <w:tcPr>
            <w:tcW w:type="dxa" w:w="556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Hoạt động &amp; Kết quả</w:t>
            </w:r>
          </w:p>
        </w:tc>
      </w:tr>
      <w:tr>
        <w:tc>
          <w:tcPr>
            <w:tcW w:type="dxa" w:w="1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0
Nền tảng</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74F"/>
                <w:sz w:val="20"/>
                <w:szCs w:val="20"/>
              </w:rPr>
              <w:t xml:space="preserve">Tháng 1–3</w:t>
            </w:r>
          </w:p>
        </w:tc>
        <w:tc>
          <w:tcPr>
            <w:tcW w:type="dxa" w:w="5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Ký MOU với Verra · Chọn VVB (DNV/SGS/Earthood) · Build MRV pipeline (telemetry + charging data) · Pilot shadow tracking 500 tài xế Hà Nội (chưa issue credits thật)</w:t>
            </w:r>
          </w:p>
        </w:tc>
      </w:tr>
      <w:tr>
        <w:tc>
          <w:tcPr>
            <w:tcW w:type="dxa" w:w="1800"/>
            <w:tcBorders>
              <w:top w:val="single" w:color="BDBDBD" w:sz="1"/>
              <w:left w:val="single" w:color="BDBDBD" w:sz="1"/>
              <w:bottom w:val="single" w:color="BDBDBD" w:sz="1"/>
              <w:right w:val="single" w:color="BDBDBD" w:sz="1"/>
            </w:tcBorders>
            <w:shd w:fill="0069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1
Đăng ký</w:t>
            </w:r>
          </w:p>
        </w:tc>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bCs/>
                <w:color w:val="37474F"/>
                <w:sz w:val="20"/>
                <w:szCs w:val="20"/>
              </w:rPr>
              <w:t xml:space="preserve">Tháng 4–8</w:t>
            </w:r>
          </w:p>
        </w:tc>
        <w:tc>
          <w:tcPr>
            <w:tcW w:type="dxa" w:w="55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Nộp hồ sơ VM0038 grouped project · Validate với VVB · Đăng ký trong hệ thống VN theo Decree 29/2026 · Launch Điểm Xanh hiển thị trong V-Smart Pay (chưa đổi thưởng)</w:t>
            </w:r>
          </w:p>
        </w:tc>
      </w:tr>
      <w:tr>
        <w:tc>
          <w:tcPr>
            <w:tcW w:type="dxa" w:w="1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2
Issuance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74F"/>
                <w:sz w:val="20"/>
                <w:szCs w:val="20"/>
              </w:rPr>
              <w:t xml:space="preserve">Tháng 9–12</w:t>
            </w:r>
          </w:p>
        </w:tc>
        <w:tc>
          <w:tcPr>
            <w:tcW w:type="dxa" w:w="5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Nhận VCUs đầu tiên từ Verra · First credit sale (Singapore corporate + VN ETS) · Kích hoạt quỹ thưởng thật cho tài xế · Rollout toàn fleet</w:t>
            </w:r>
          </w:p>
        </w:tc>
      </w:tr>
      <w:tr>
        <w:tc>
          <w:tcPr>
            <w:tcW w:type="dxa" w:w="1800"/>
            <w:tcBorders>
              <w:top w:val="single" w:color="BDBDBD" w:sz="1"/>
              <w:left w:val="single" w:color="BDBDBD" w:sz="1"/>
              <w:bottom w:val="single" w:color="BDBDBD" w:sz="1"/>
              <w:right w:val="single" w:color="BDBDBD" w:sz="1"/>
            </w:tcBorders>
            <w:shd w:fill="607D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3
Scale</w:t>
            </w:r>
          </w:p>
        </w:tc>
        <w:tc>
          <w:tcPr>
            <w:tcW w:type="dxa" w:w="2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bCs/>
                <w:color w:val="37474F"/>
                <w:sz w:val="20"/>
                <w:szCs w:val="20"/>
              </w:rPr>
              <w:t xml:space="preserve">Tháng 13–18</w:t>
            </w:r>
          </w:p>
        </w:tc>
        <w:tc>
          <w:tcPr>
            <w:tcW w:type="dxa" w:w="55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Mở kênh CORSIA (aviation offset) · B2B carbon sales cho corporate VN (Vinhomes, Vietnam Airlines) · Nghiên cứu tokenize credits on-chain · Xem xét spin-off GreenSM Carbon Co.</w:t>
            </w:r>
          </w:p>
        </w:tc>
      </w:tr>
    </w:tbl>
    <w:p>
      <w:pPr>
        <w:spacing w:after="0" w:before="160"/>
      </w:pPr>
      <w:r>
        <w:rPr>
          <w:rFonts w:ascii="Arial" w:cs="Arial" w:eastAsia="Arial" w:hAnsi="Arial"/>
          <w:b w:val="false"/>
          <w:bCs w:val="false"/>
          <w:i w:val="false"/>
          <w:iCs w:val="false"/>
          <w:color w:val="37474F"/>
          <w:sz w:val="22"/>
          <w:szCs w:val="22"/>
        </w:rPr>
        <w:t xml:space="preserve"/>
      </w:r>
    </w:p>
    <w:p>
      <w:pPr>
        <w:pStyle w:val="Heading2"/>
        <w:spacing w:after="120" w:before="320"/>
      </w:pPr>
      <w:r>
        <w:rPr>
          <w:rFonts w:ascii="Arial" w:cs="Arial" w:eastAsia="Arial" w:hAnsi="Arial"/>
          <w:b/>
          <w:bCs/>
          <w:color w:val="2E7D32"/>
          <w:sz w:val="28"/>
          <w:szCs w:val="28"/>
        </w:rPr>
        <w:t xml:space="preserve">6.1 Regulatory milestones cần theo dõi</w:t>
      </w:r>
    </w:p>
    <w:p>
      <w:pPr>
        <w:pStyle w:val="ListParagraph"/>
        <w:numPr>
          <w:ilvl w:val="0"/>
          <w:numId w:val="2"/>
        </w:numPr>
        <w:spacing w:after="60" w:before="60"/>
      </w:pPr>
      <w:r>
        <w:rPr>
          <w:rFonts w:ascii="Arial" w:cs="Arial" w:eastAsia="Arial" w:hAnsi="Arial"/>
          <w:b w:val="false"/>
          <w:bCs w:val="false"/>
          <w:i w:val="false"/>
          <w:iCs w:val="false"/>
          <w:color w:val="37474F"/>
          <w:sz w:val="22"/>
          <w:szCs w:val="22"/>
        </w:rPr>
        <w:t xml:space="preserve">19/5/2026 — Nghị định xuất khẩu credits VN có hiệu lực (Article 6.2).</w:t>
      </w:r>
    </w:p>
    <w:p>
      <w:pPr>
        <w:pStyle w:val="ListParagraph"/>
        <w:numPr>
          <w:ilvl w:val="0"/>
          <w:numId w:val="2"/>
        </w:numPr>
        <w:spacing w:after="60" w:before="60"/>
      </w:pPr>
      <w:r>
        <w:rPr>
          <w:rFonts w:ascii="Arial" w:cs="Arial" w:eastAsia="Arial" w:hAnsi="Arial"/>
          <w:b w:val="false"/>
          <w:bCs w:val="false"/>
          <w:i w:val="false"/>
          <w:iCs w:val="false"/>
          <w:color w:val="37474F"/>
          <w:sz w:val="22"/>
          <w:szCs w:val="22"/>
        </w:rPr>
        <w:t xml:space="preserve">2026 — Pilot ETS VN đang chạy: 34 nhà máy nhiệt điện, 25 thép, 51 xi măng → đây là buyer pool domestic.</w:t>
      </w:r>
    </w:p>
    <w:p>
      <w:pPr>
        <w:pStyle w:val="ListParagraph"/>
        <w:numPr>
          <w:ilvl w:val="0"/>
          <w:numId w:val="2"/>
        </w:numPr>
        <w:spacing w:after="60" w:before="60"/>
      </w:pPr>
      <w:r>
        <w:rPr>
          <w:rFonts w:ascii="Arial" w:cs="Arial" w:eastAsia="Arial" w:hAnsi="Arial"/>
          <w:b w:val="false"/>
          <w:bCs w:val="false"/>
          <w:i w:val="false"/>
          <w:iCs w:val="false"/>
          <w:color w:val="37474F"/>
          <w:sz w:val="22"/>
          <w:szCs w:val="22"/>
        </w:rPr>
        <w:t xml:space="preserve">2027 — Mở rộng quy định, dự kiến thêm sectors vào ETS.</w:t>
      </w:r>
    </w:p>
    <w:p>
      <w:pPr>
        <w:pStyle w:val="ListParagraph"/>
        <w:numPr>
          <w:ilvl w:val="0"/>
          <w:numId w:val="2"/>
        </w:numPr>
        <w:spacing w:after="60" w:before="60"/>
      </w:pPr>
      <w:r>
        <w:rPr>
          <w:rFonts w:ascii="Arial" w:cs="Arial" w:eastAsia="Arial" w:hAnsi="Arial"/>
          <w:b w:val="false"/>
          <w:bCs w:val="false"/>
          <w:i w:val="false"/>
          <w:iCs w:val="false"/>
          <w:color w:val="37474F"/>
          <w:sz w:val="22"/>
          <w:szCs w:val="22"/>
        </w:rPr>
        <w:t xml:space="preserve">2028 — Full launch thị trường carbon VN + CORSIA mandatory cho aviation toàn cầu.</w:t>
      </w:r>
    </w:p>
    <w:p>
      <w:pPr>
        <w:spacing w:after="0" w:before="200"/>
      </w:pPr>
      <w:r>
        <w:rPr>
          <w:rFonts w:ascii="Arial" w:cs="Arial" w:eastAsia="Arial" w:hAnsi="Arial"/>
          <w:b w:val="false"/>
          <w:bCs w:val="false"/>
          <w:i w:val="false"/>
          <w:iCs w:val="false"/>
          <w:color w:val="37474F"/>
          <w:sz w:val="22"/>
          <w:szCs w:val="22"/>
        </w:rPr>
        <w:t xml:space="preserve"/>
      </w:r>
    </w:p>
    <w:p>
      <w:pPr>
        <w:pStyle w:val="Heading1"/>
        <w:pBdr>
          <w:bottom w:val="single" w:color="2E7D32" w:sz="8" w:space="6"/>
        </w:pBdr>
        <w:spacing w:after="160" w:before="400"/>
      </w:pPr>
      <w:r>
        <w:rPr>
          <w:rFonts w:ascii="Arial" w:cs="Arial" w:eastAsia="Arial" w:hAnsi="Arial"/>
          <w:b/>
          <w:bCs/>
          <w:color w:val="1B5E20"/>
          <w:sz w:val="36"/>
          <w:szCs w:val="36"/>
        </w:rPr>
        <w:t xml:space="preserve">7. Rủi ro &amp; Giải pháp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Rủi ro</w:t>
            </w:r>
          </w:p>
        </w:tc>
        <w:tc>
          <w:tcPr>
            <w:tcW w:type="dxa" w:w="14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Mức độ</w:t>
            </w:r>
          </w:p>
        </w:tc>
        <w:tc>
          <w:tcPr>
            <w:tcW w:type="dxa" w:w="496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Giải pháp</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Giá carbon thị trường giảm mạnh</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Cao</w:t>
            </w:r>
          </w:p>
        </w:tc>
        <w:tc>
          <w:tcPr>
            <w:tcW w:type="dxa" w:w="4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Forward contract 70% credits. Quỹ thưởng = revenue thật, không cam kết cố định.</w:t>
            </w:r>
          </w:p>
        </w:tc>
      </w:tr>
      <w:tr>
        <w:tc>
          <w:tcPr>
            <w:tcW w:type="dxa" w:w="3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Double counting (VinFast đã report credits)</w:t>
            </w:r>
          </w:p>
        </w:tc>
        <w:tc>
          <w:tcPr>
            <w:tcW w:type="dxa" w:w="1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Cao</w:t>
            </w:r>
          </w:p>
        </w:tc>
        <w:tc>
          <w:tcPr>
            <w:tcW w:type="dxa" w:w="49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Declare voluntary market transfer ngay khi đăng ký. Corresponding adjustment theo Article 6.2.</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VM0038 không cover ride-hailing VN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Trung bình</w:t>
            </w:r>
          </w:p>
        </w:tc>
        <w:tc>
          <w:tcPr>
            <w:tcW w:type="dxa" w:w="4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Consult Verra sớm. Fallback: dùng AMS-III.C methodology cho transport.</w:t>
            </w:r>
          </w:p>
        </w:tc>
      </w:tr>
      <w:tr>
        <w:tc>
          <w:tcPr>
            <w:tcW w:type="dxa" w:w="30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VVB audit chậm, issuance delay</w:t>
            </w:r>
          </w:p>
        </w:tc>
        <w:tc>
          <w:tcPr>
            <w:tcW w:type="dxa" w:w="1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Trung bình</w:t>
            </w:r>
          </w:p>
        </w:tc>
        <w:tc>
          <w:tcPr>
            <w:tcW w:type="dxa" w:w="49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Chọn VVB có track record ĐNA (Earthood đã làm ở VN). Buffer 3 tháng trong timeline.</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Tài xế không tin Điểm Xanh có giá trị</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Thấp</w:t>
            </w:r>
          </w:p>
        </w:tc>
        <w:tc>
          <w:tcPr>
            <w:tcW w:type="dxa" w:w="4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Launch event: công khai credit sale đầu tiên, mời báo chí. Hiển thị VND tiết kiệm thật trên app.</w:t>
            </w:r>
          </w:p>
        </w:tc>
      </w:tr>
    </w:tbl>
    <w:p>
      <w:pPr>
        <w:spacing w:after="0" w:before="200"/>
      </w:pPr>
      <w:r>
        <w:rPr>
          <w:rFonts w:ascii="Arial" w:cs="Arial" w:eastAsia="Arial" w:hAnsi="Arial"/>
          <w:b w:val="false"/>
          <w:bCs w:val="false"/>
          <w:i w:val="false"/>
          <w:iCs w:val="false"/>
          <w:color w:val="37474F"/>
          <w:sz w:val="22"/>
          <w:szCs w:val="22"/>
        </w:rPr>
        <w:t xml:space="preserve"/>
      </w:r>
    </w:p>
    <w:p>
      <w:pPr>
        <w:pStyle w:val="Heading1"/>
        <w:pBdr>
          <w:bottom w:val="single" w:color="2E7D32" w:sz="8" w:space="6"/>
        </w:pBdr>
        <w:spacing w:after="160" w:before="400"/>
      </w:pPr>
      <w:r>
        <w:rPr>
          <w:rFonts w:ascii="Arial" w:cs="Arial" w:eastAsia="Arial" w:hAnsi="Arial"/>
          <w:b/>
          <w:bCs/>
          <w:color w:val="1B5E20"/>
          <w:sz w:val="36"/>
          <w:szCs w:val="36"/>
        </w:rPr>
        <w:t xml:space="preserve">8. Lợi thế Cạnh tranh</w:t>
      </w:r>
    </w:p>
    <w:p>
      <w:pPr>
        <w:spacing w:after="80" w:before="80"/>
        <w:jc w:val="left"/>
      </w:pPr>
      <w:r>
        <w:rPr>
          <w:rFonts w:ascii="Arial" w:cs="Arial" w:eastAsia="Arial" w:hAnsi="Arial"/>
          <w:b w:val="false"/>
          <w:bCs w:val="false"/>
          <w:i w:val="false"/>
          <w:iCs w:val="false"/>
          <w:color w:val="37474F"/>
          <w:sz w:val="22"/>
          <w:szCs w:val="22"/>
        </w:rPr>
        <w:t xml:space="preserve">GreenSM × V-Smart Pay là combo duy nhất ở Việt Nam và Đông Nam Á có đủ 4 thành tố để vận hành Carbon Credit Program ở quy mô fleet ride-hailing.</w:t>
      </w:r>
    </w:p>
    <w:p>
      <w:pPr>
        <w:spacing w:after="0" w:before="80"/>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580"/>
        <w:gridCol w:w="1580"/>
      </w:tblGrid>
      <w:tr>
        <w:tc>
          <w:tcPr>
            <w:tcW w:type="dxa" w:w="26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Năng lực cần có</w:t>
            </w:r>
          </w:p>
        </w:tc>
        <w:tc>
          <w:tcPr>
            <w:tcW w:type="dxa" w:w="18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GreenSM</w:t>
            </w:r>
          </w:p>
        </w:tc>
        <w:tc>
          <w:tcPr>
            <w:tcW w:type="dxa" w:w="18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Grab</w:t>
            </w:r>
          </w:p>
        </w:tc>
        <w:tc>
          <w:tcPr>
            <w:tcW w:type="dxa" w:w="158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w:t>
            </w:r>
          </w:p>
        </w:tc>
        <w:tc>
          <w:tcPr>
            <w:tcW w:type="dxa" w:w="158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Gojek</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Fleet 100% EV</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 VinFast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 Mixed</w:t>
            </w:r>
          </w:p>
        </w:tc>
        <w:tc>
          <w:tcPr>
            <w:tcW w:type="dxa" w:w="1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 Mixed</w:t>
            </w:r>
          </w:p>
        </w:tc>
        <w:tc>
          <w:tcPr>
            <w:tcW w:type="dxa" w:w="1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 Mixed</w:t>
            </w:r>
          </w:p>
        </w:tc>
      </w:tr>
      <w:tr>
        <w:tc>
          <w:tcPr>
            <w:tcW w:type="dxa" w:w="2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OEM telemetry trực tiếp</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 VinFast API</w:t>
            </w:r>
          </w:p>
        </w:tc>
        <w:tc>
          <w:tcPr>
            <w:tcW w:type="dxa" w:w="1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 Tự báo</w:t>
            </w:r>
          </w:p>
        </w:tc>
        <w:tc>
          <w:tcPr>
            <w:tcW w:type="dxa" w:w="158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 Tự báo</w:t>
            </w:r>
          </w:p>
        </w:tc>
        <w:tc>
          <w:tcPr>
            <w:tcW w:type="dxa" w:w="158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 Tự báo</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Charging network riêng</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 V-GREEN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 3rd party</w:t>
            </w:r>
          </w:p>
        </w:tc>
        <w:tc>
          <w:tcPr>
            <w:tcW w:type="dxa" w:w="1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 3rd party</w:t>
            </w:r>
          </w:p>
        </w:tc>
        <w:tc>
          <w:tcPr>
            <w:tcW w:type="dxa" w:w="1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 3rd party</w:t>
            </w:r>
          </w:p>
        </w:tc>
      </w:tr>
      <w:tr>
        <w:tc>
          <w:tcPr>
            <w:tcW w:type="dxa" w:w="2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Ví điện tử tích hợp</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 V-Smart Pay</w:t>
            </w:r>
          </w:p>
        </w:tc>
        <w:tc>
          <w:tcPr>
            <w:tcW w:type="dxa" w:w="1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 GrabPay</w:t>
            </w:r>
          </w:p>
        </w:tc>
        <w:tc>
          <w:tcPr>
            <w:tcW w:type="dxa" w:w="158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 BePay</w:t>
            </w:r>
          </w:p>
        </w:tc>
        <w:tc>
          <w:tcPr>
            <w:tcW w:type="dxa" w:w="158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 GoPay</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Fleet đồng nhất cho MRV</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 100% EV</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 Phải lọc</w:t>
            </w:r>
          </w:p>
        </w:tc>
        <w:tc>
          <w:tcPr>
            <w:tcW w:type="dxa" w:w="1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 Phải lọc</w:t>
            </w:r>
          </w:p>
        </w:tc>
        <w:tc>
          <w:tcPr>
            <w:tcW w:type="dxa" w:w="15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 Phải lọc</w:t>
            </w:r>
          </w:p>
        </w:tc>
      </w:tr>
      <w:tr>
        <w:tc>
          <w:tcPr>
            <w:tcW w:type="dxa" w:w="2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Quan hệ regulator VN</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 Vingroup</w:t>
            </w:r>
          </w:p>
        </w:tc>
        <w:tc>
          <w:tcPr>
            <w:tcW w:type="dxa" w:w="1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 Foreign</w:t>
            </w:r>
          </w:p>
        </w:tc>
        <w:tc>
          <w:tcPr>
            <w:tcW w:type="dxa" w:w="158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 Local</w:t>
            </w:r>
          </w:p>
        </w:tc>
        <w:tc>
          <w:tcPr>
            <w:tcW w:type="dxa" w:w="158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 Foreign</w:t>
            </w:r>
          </w:p>
        </w:tc>
      </w:tr>
    </w:tbl>
    <w:p>
      <w:pPr>
        <w:spacing w:after="0" w:before="80"/>
      </w:pPr>
      <w:r>
        <w:rPr>
          <w:rFonts w:ascii="Arial" w:cs="Arial" w:eastAsia="Arial" w:hAnsi="Arial"/>
          <w:b w:val="false"/>
          <w:bCs w:val="false"/>
          <w:i w:val="false"/>
          <w:iCs w:val="false"/>
          <w:color w:val="37474F"/>
          <w:sz w:val="22"/>
          <w:szCs w:val="22"/>
        </w:rPr>
        <w:t xml:space="preserve"/>
      </w:r>
    </w:p>
    <w:p>
      <w:pPr>
        <w:spacing w:after="80" w:before="80"/>
        <w:jc w:val="left"/>
      </w:pPr>
      <w:r>
        <w:rPr>
          <w:rFonts w:ascii="Arial" w:cs="Arial" w:eastAsia="Arial" w:hAnsi="Arial"/>
          <w:b w:val="false"/>
          <w:bCs w:val="false"/>
          <w:i/>
          <w:iCs/>
          <w:color w:val="607D8B"/>
          <w:sz w:val="22"/>
          <w:szCs w:val="22"/>
        </w:rPr>
        <w:t xml:space="preserve">Grab/Be không thể copy vì fleet mixed không apply được VM0038 grouped methodology. Chi phí MRV per-vehicle sẽ ăn hết biên lợi nhuận của họ.</w:t>
      </w:r>
    </w:p>
    <w:p>
      <w:pPr>
        <w:spacing w:after="0" w:before="200"/>
      </w:pPr>
      <w:r>
        <w:rPr>
          <w:rFonts w:ascii="Arial" w:cs="Arial" w:eastAsia="Arial" w:hAnsi="Arial"/>
          <w:b w:val="false"/>
          <w:bCs w:val="false"/>
          <w:i w:val="false"/>
          <w:iCs w:val="false"/>
          <w:color w:val="37474F"/>
          <w:sz w:val="22"/>
          <w:szCs w:val="22"/>
        </w:rPr>
        <w:t xml:space="preserve"/>
      </w:r>
    </w:p>
    <w:p>
      <w:pPr>
        <w:pStyle w:val="Heading1"/>
        <w:pBdr>
          <w:bottom w:val="single" w:color="2E7D32" w:sz="8" w:space="6"/>
        </w:pBdr>
        <w:spacing w:after="160" w:before="400"/>
      </w:pPr>
      <w:r>
        <w:rPr>
          <w:rFonts w:ascii="Arial" w:cs="Arial" w:eastAsia="Arial" w:hAnsi="Arial"/>
          <w:b/>
          <w:bCs/>
          <w:color w:val="1B5E20"/>
          <w:sz w:val="36"/>
          <w:szCs w:val="36"/>
        </w:rPr>
        <w:t xml:space="preserve">9. Bước Tiếp theo — Quyết định cần thực 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160"/>
        <w:gridCol w:w="2400"/>
      </w:tblGrid>
      <w:tr>
        <w:tc>
          <w:tcPr>
            <w:tcW w:type="dxa" w:w="4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Quyết định</w:t>
            </w:r>
          </w:p>
        </w:tc>
        <w:tc>
          <w:tcPr>
            <w:tcW w:type="dxa" w:w="416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Nội dung</w:t>
            </w:r>
          </w:p>
        </w:tc>
        <w:tc>
          <w:tcPr>
            <w:tcW w:type="dxa" w:w="2400"/>
            <w:tcBorders>
              <w:top w:val="single" w:color="BDBDBD" w:sz="1"/>
              <w:left w:val="single" w:color="BDBDBD" w:sz="1"/>
              <w:bottom w:val="single" w:color="BDBDBD" w:sz="1"/>
              <w:right w:val="single" w:color="BDBDBD"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Deadline đề xuất</w:t>
            </w:r>
          </w:p>
        </w:tc>
      </w:tr>
      <w:tr>
        <w:tc>
          <w:tcPr>
            <w:tcW w:type="dxa" w:w="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Chọn VVB</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Liên hệ Earthood, DNV, SGS để nhận quote. Earthood đã có track record VN.</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74F"/>
                <w:sz w:val="20"/>
                <w:szCs w:val="20"/>
              </w:rPr>
              <w:t xml:space="preserve">Tháng 5/2026</w:t>
            </w:r>
          </w:p>
        </w:tc>
      </w:tr>
      <w:tr>
        <w:tc>
          <w:tcPr>
            <w:tcW w:type="dxa" w:w="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2</w:t>
            </w:r>
          </w:p>
        </w:tc>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Legal: ai own credits?</w:t>
            </w:r>
          </w:p>
        </w:tc>
        <w:tc>
          <w:tcPr>
            <w:tcW w:type="dxa" w:w="41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Xác định trong contract tài xế: GreenSM own credits, chia thưởng bằng tiền/voucher. Tránh tranh chấp.</w:t>
            </w:r>
          </w:p>
        </w:tc>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bCs/>
                <w:color w:val="37474F"/>
                <w:sz w:val="20"/>
                <w:szCs w:val="20"/>
              </w:rPr>
              <w:t xml:space="preserve">Tháng 5/2026</w:t>
            </w:r>
          </w:p>
        </w:tc>
      </w:tr>
      <w:tr>
        <w:tc>
          <w:tcPr>
            <w:tcW w:type="dxa" w:w="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3</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VinFast API agreement</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Ký thỏa thuận data sharing cho mục đích carbon MRV. Cần legal + Vingroup sign-off.</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74F"/>
                <w:sz w:val="20"/>
                <w:szCs w:val="20"/>
              </w:rPr>
              <w:t xml:space="preserve">Tháng 6/2026</w:t>
            </w:r>
          </w:p>
        </w:tc>
      </w:tr>
      <w:tr>
        <w:tc>
          <w:tcPr>
            <w:tcW w:type="dxa" w:w="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4</w:t>
            </w:r>
          </w:p>
        </w:tc>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Pilot fleet 500 tài xế</w:t>
            </w:r>
          </w:p>
        </w:tc>
        <w:tc>
          <w:tcPr>
            <w:tcW w:type="dxa" w:w="416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Shadow tracking tại Hà Nội. Không issue credits thật — chỉ validate methodology.</w:t>
            </w:r>
          </w:p>
        </w:tc>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vAlign w:val="center"/>
          </w:tcPr>
          <w:p>
            <w:pPr>
              <w:jc w:val="center"/>
            </w:pPr>
            <w:r>
              <w:rPr>
                <w:rFonts w:ascii="Arial" w:cs="Arial" w:eastAsia="Arial" w:hAnsi="Arial"/>
                <w:b/>
                <w:bCs/>
                <w:color w:val="37474F"/>
                <w:sz w:val="20"/>
                <w:szCs w:val="20"/>
              </w:rPr>
              <w:t xml:space="preserve">Tháng 7/2026</w:t>
            </w:r>
          </w:p>
        </w:tc>
      </w:tr>
      <w:tr>
        <w:tc>
          <w:tcPr>
            <w:tcW w:type="dxa" w:w="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5</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Submit VM0038 hồ sơ</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Nộp Project Design Document lên Verra. VVB review ~3 tháng.</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474F"/>
                <w:sz w:val="20"/>
                <w:szCs w:val="20"/>
              </w:rPr>
              <w:t xml:space="preserve">Tháng 8/2026</w:t>
            </w:r>
          </w:p>
        </w:tc>
      </w:tr>
    </w:tbl>
    <w:p>
      <w:pPr>
        <w:spacing w:after="0" w:before="200"/>
      </w:pPr>
      <w:r>
        <w:rPr>
          <w:rFonts w:ascii="Arial" w:cs="Arial" w:eastAsia="Arial" w:hAnsi="Arial"/>
          <w:b w:val="false"/>
          <w:bCs w:val="false"/>
          <w:i w:val="false"/>
          <w:iCs w:val="false"/>
          <w:color w:val="37474F"/>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6"/>
      </w:pBdr>
      <w:tabs>
        <w:tab w:val="right" w:pos="9026"/>
      </w:tabs>
      <w:spacing w:after="0" w:before="160"/>
    </w:pPr>
    <w:r>
      <w:rPr>
        <w:rFonts w:ascii="Arial" w:cs="Arial" w:eastAsia="Arial" w:hAnsi="Arial"/>
        <w:color w:val="607D8B"/>
        <w:sz w:val="18"/>
        <w:szCs w:val="18"/>
      </w:rPr>
      <w:t xml:space="preserve">GreenSM Carbon Credit Program 2026</w:t>
    </w:r>
    <w:r>
      <w:rPr>
        <w:rFonts w:ascii="Arial" w:cs="Arial" w:eastAsia="Arial" w:hAnsi="Arial"/>
        <w:sz w:val="18"/>
        <w:szCs w:val="18"/>
      </w:rPr>
      <w:t xml:space="preserve">	</w:t>
    </w:r>
    <w:r>
      <w:rPr>
        <w:rFonts w:ascii="Arial" w:cs="Arial" w:eastAsia="Arial" w:hAnsi="Arial"/>
        <w:color w:val="607D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6"/>
      </w:pBdr>
      <w:spacing w:after="200" w:before="0"/>
    </w:pPr>
    <w:r>
      <w:rPr>
        <w:rFonts w:ascii="Arial" w:cs="Arial" w:eastAsia="Arial" w:hAnsi="Arial"/>
        <w:color w:val="607D8B"/>
        <w:sz w:val="18"/>
        <w:szCs w:val="18"/>
      </w:rPr>
      <w:t xml:space="preserve">GreenSM × V-Smart Pay  |  Carbon Credit Program Proposal</w:t>
    </w:r>
    <w:r>
      <w:rPr>
        <w:rFonts w:ascii="Arial" w:cs="Arial" w:eastAsia="Arial" w:hAnsi="Arial"/>
        <w:i/>
        <w:iCs/>
        <w:color w:val="607D8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74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5E2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2026-04-22T03:25:53.265Z</dcterms:created>
  <dcterms:modified xsi:type="dcterms:W3CDTF">2026-04-22T03:25:53.266Z</dcterms:modified>
</cp:coreProperties>
</file>

<file path=docProps/custom.xml><?xml version="1.0" encoding="utf-8"?>
<Properties xmlns="http://schemas.openxmlformats.org/officeDocument/2006/custom-properties" xmlns:vt="http://schemas.openxmlformats.org/officeDocument/2006/docPropsVTypes"/>
</file>