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97" w:type="dxa"/>
        <w:tblBorders>
          <w:insideV w:val="single" w:sz="4" w:space="0" w:color="auto"/>
        </w:tblBorders>
        <w:tblLayout w:type="fixed"/>
        <w:tblCellMar>
          <w:left w:w="99" w:type="dxa"/>
          <w:right w:w="99" w:type="dxa"/>
        </w:tblCellMar>
        <w:tblLook w:val="0000" w:firstRow="0" w:lastRow="0" w:firstColumn="0" w:lastColumn="0" w:noHBand="0" w:noVBand="0"/>
      </w:tblPr>
      <w:tblGrid>
        <w:gridCol w:w="262"/>
        <w:gridCol w:w="8460"/>
        <w:gridCol w:w="236"/>
      </w:tblGrid>
      <w:tr w:rsidR="00D31B16">
        <w:trPr>
          <w:gridBefore w:val="1"/>
          <w:gridAfter w:val="1"/>
          <w:wBefore w:w="262" w:type="dxa"/>
          <w:wAfter w:w="236" w:type="dxa"/>
        </w:trPr>
        <w:tc>
          <w:tcPr>
            <w:tcW w:w="8460" w:type="dxa"/>
            <w:vAlign w:val="center"/>
          </w:tcPr>
          <w:p>
            <w:pPr>
              <w:pStyle w:val="Title"/>
              <w:widowControl/>
              <w:keepLines/>
              <w:snapToGrid w:val="0"/>
              <w:jc w:val="center"/>
              <w:spacing w:before="15" w:after="75" w:line="384" w:lineRule="atLeast"/>
            </w:pPr>
            <w:r>
              <w:rPr>
                <w:rFonts w:ascii="Arial" w:hAnsi="Arial" w:eastAsia="맑은 고딕" w:cs="Arial"/>
                <w:sz w:val="32"/>
                <w:szCs w:val="32"/>
                <w:color w:val="000000"/>
                <w:b/>
              </w:rPr>
              <w:t xml:space="preserve">청년층 미인지 대사이상의 비침습적 유형 분류를 위한 머신러닝 모델 비교</w:t>
            </w:r>
          </w:p>
        </w:tc>
      </w:tr>
      <w:tr w:rsidR="00D31B16">
        <w:trPr>
          <w:gridBefore w:val="1"/>
          <w:gridAfter w:val="1"/>
          <w:wBefore w:w="262" w:type="dxa"/>
          <w:wAfter w:w="236" w:type="dxa"/>
        </w:trPr>
        <w:tc>
          <w:tcPr>
            <w:tcW w:w="8460" w:type="dxa"/>
            <w:vAlign w:val="center"/>
          </w:tcPr>
          <w:p>
            <w:pPr>
              <w:pStyle w:val="Title"/>
              <w:widowControl/>
              <w:keepLines/>
              <w:snapToGrid w:val="0"/>
              <w:jc w:val="center"/>
              <w:spacing w:before="15" w:after="75" w:line="336" w:lineRule="atLeast"/>
            </w:pPr>
            <w:r>
              <w:rPr>
                <w:rFonts w:ascii="Arial" w:hAnsi="Arial" w:eastAsia="맑은 고딕" w:cs="Arial"/>
                <w:sz w:val="28"/>
                <w:szCs w:val="28"/>
                <w:color w:val="000000"/>
                <w:b/>
              </w:rPr>
              <w:t xml:space="preserve">Comparison of Machine Learning Models for Non-Invasive Classification of Unrecognized Metabolic Abnormalities in Young Adults</w:t>
            </w:r>
          </w:p>
        </w:tc>
      </w:tr>
      <w:tr w:rsidR="00D31B16">
        <w:trPr>
          <w:gridBefore w:val="1"/>
          <w:gridAfter w:val="1"/>
          <w:wBefore w:w="262" w:type="dxa"/>
          <w:wAfter w:w="236" w:type="dxa"/>
        </w:trPr>
        <w:tc>
          <w:tcPr>
            <w:tcW w:w="8460" w:type="dxa"/>
            <w:vAlign w:val="center"/>
          </w:tcPr>
          <w:p>
            <w:pPr>
              <w:widowControl/>
              <w:snapToGrid w:val="0"/>
              <w:jc w:val="both"/>
              <w:spacing w:before="0" w:after="0" w:line="20" w:lineRule="exact"/>
            </w:pPr>
            <w:r>
              <w:rPr>
                <w:rFonts w:ascii="Arial" w:hAnsi="Arial" w:eastAsia="맑은 고딕" w:cs="Arial"/>
                <w:sz w:val="18"/>
                <w:szCs w:val="18"/>
                <w:color w:val="000000"/>
              </w:rPr>
              <w:t xml:space="preserve"/>
            </w:r>
          </w:p>
        </w:tc>
      </w:tr>
      <w:tr w:rsidR="00D31B16">
        <w:trPr/>
        <w:tc>
          <w:tcPr>
            <w:tcW w:w="8958" w:type="dxa"/>
            <w:gridSpan w:val="3"/>
            <w:vAlign w:val="center"/>
          </w:tcPr>
          <w:p>
            <w:pPr>
              <w:widowControl/>
              <w:keepNext/>
              <w:keepLines/>
              <w:snapToGrid w:val="0"/>
              <w:jc w:val="center"/>
              <w:spacing w:before="65" w:after="30" w:line="246" w:lineRule="atLeast"/>
            </w:pPr>
            <w:r>
              <w:rPr>
                <w:rFonts w:ascii="Arial" w:hAnsi="Arial" w:eastAsia="맑은 고딕" w:cs="Arial"/>
                <w:sz w:val="20"/>
                <w:szCs w:val="20"/>
                <w:color w:val="000000"/>
                <w:b/>
              </w:rPr>
              <w:t xml:space="preserve">요   약</w:t>
            </w:r>
          </w:p>
          <w:p>
            <w:pPr>
              <w:widowControl/>
              <w:snapToGrid w:val="0"/>
              <w:jc w:val="both"/>
              <w:spacing w:before="0" w:after="40" w:line="246" w:lineRule="exact"/>
            </w:pPr>
            <w:r>
              <w:rPr>
                <w:rFonts w:ascii="Arial" w:hAnsi="Arial" w:eastAsia="맑은 고딕" w:cs="Arial"/>
                <w:sz w:val="19"/>
                <w:szCs w:val="19"/>
                <w:color w:val="000000"/>
              </w:rPr>
              <w:t xml:space="preserve">혈당·혈압·지질 이상을 하나의 이진 결과로 묶으면 소견의 유형에 따른 분류 난이도가 드러나지 않는다. 본 연구는 국민건강영양조사 2020–2024년 자료에서 기존 진단과 관련 복약이 없는 20–39세 4,508명을 선정하고, 신체계측과 생활습관 등 15개 비침습적 입력으로 정상·혈압 단독·혈당 단독·지질 단독·복합의 다섯 군을 분류하였다. 로지스틱 회귀, 랜덤 포레스트, 두 부스팅 모델, MLP 및 공동분포를 학습하는 세 모델을 같은 대상자와 조사구 단위 교차검증에서 비교하였으며, 직접 구현한 EPF 신경망을 공동분포 비교군에 포함하였다. 조사 가중 macro AP는 LightGBM 0.3515, EPF 0.3515, 로지스틱 회귀 0.3443이었다. EPF와 공동분포 MLP의 차이는 0.0030이었으나 95% 구간이 −0.0024–0.0088로 0을 포함하였다. 정상군보다 단독 혈압·혈당군의 AP가 낮아, 전체 점수만으로 선별 성능을 판단하기 어려웠다. 이 결과는 특정 구조의 우월성보다 대사소견 유형별 평가와 출력 설계를 구분한 비교가 필요함을 보여준다.</w:t>
            </w:r>
          </w:p>
        </w:tc>
      </w:tr>
    </w:tbl>
    <w:p w:rsidR="00D31B16" w:rsidRDefault="00D31B16">
      <w:pPr>
        <w:rPr>
          <w:rFonts w:hAnsi="바탕"/>
        </w:rPr>
        <w:sectPr w:rsidR="00D31B16">
          <w:pgSz w:w="11906" w:h="16838" w:code="9"/>
          <w:pgMar w:top="1701" w:right="567" w:bottom="1134" w:left="567" w:header="0" w:footer="0" w:gutter="0"/>
          <w:cols w:space="720"/>
          <w:docGrid w:type="lines" w:linePitch="360"/>
        </w:sectPr>
      </w:pPr>
    </w:p>
    <w:p>
      <w:pPr>
        <w:widowControl/>
        <w:keepNext/>
        <w:keepLines/>
        <w:snapToGrid w:val="0"/>
        <w:jc w:val="left"/>
        <w:spacing w:before="95" w:after="45" w:line="260" w:lineRule="atLeast"/>
      </w:pPr>
      <w:r>
        <w:rPr>
          <w:rFonts w:ascii="Arial" w:hAnsi="Arial" w:eastAsia="맑은 고딕" w:cs="Arial"/>
          <w:sz w:val="21"/>
          <w:szCs w:val="21"/>
          <w:color w:val="000000"/>
          <w:b/>
        </w:rPr>
        <w:t xml:space="preserve">1. 서론</w:t>
      </w:r>
    </w:p>
    <w:p>
      <w:pPr>
        <w:widowControl/>
        <w:snapToGrid w:val="0"/>
        <w:jc w:val="both"/>
        <w:spacing w:before="0" w:after="35" w:line="234" w:lineRule="exact"/>
        <w:ind w:firstLine="180"/>
      </w:pPr>
      <w:r>
        <w:rPr>
          <w:rFonts w:ascii="Arial" w:hAnsi="Arial" w:eastAsia="맑은 고딕" w:cs="Arial"/>
          <w:sz w:val="19"/>
          <w:szCs w:val="19"/>
          <w:color w:val="000000"/>
        </w:rPr>
        <w:t xml:space="preserve">비침습적 정보로 대사이상 가능성을 가려내는 모델은 혈액검사 이전 단계에서 활용할 수 있지만, 이상 유무만 분류하면 서로 다른 소견이 같은 양성군에 포함된다. 혈당 상승 한 가지가 있는 사람과 혈당·혈압·지질 이상이 함께 있는 사람은 같은 결과로 표현되고, 모델이 어느 유형을 잘 구분했는지도 알기 어렵다. 따라서 조기 선별을 검토하려면 종합 점수와 함께 유형별 분류 성능을 확인해야 한다.</w:t>
      </w:r>
    </w:p>
    <w:p>
      <w:pPr>
        <w:widowControl/>
        <w:snapToGrid w:val="0"/>
        <w:jc w:val="both"/>
        <w:spacing w:before="0" w:after="35" w:line="234" w:lineRule="exact"/>
        <w:ind w:firstLine="180"/>
      </w:pPr>
      <w:r>
        <w:rPr>
          <w:rFonts w:ascii="Arial" w:hAnsi="Arial" w:eastAsia="맑은 고딕" w:cs="Arial"/>
          <w:sz w:val="19"/>
          <w:szCs w:val="19"/>
          <w:color w:val="000000"/>
        </w:rPr>
        <w:t xml:space="preserve">국민건강영양조사는 건강설문·검진·영양조사를 결합한 반복 횡단면 자료로, 계측과 생활습관을 검사 결과에 연결해 분석할 수 있다[1]. 본 연구는 2020–2024년의 청년 자료에서 배타적인 다섯 대사소견군을 정의하고, 기존 머신러닝 모델과 직접 구현한 EPF 신경망을 동일한 입력과 표본에서 비교하였다. EPF는 비교 대상 중 하나로 두었으며, 신경망 구조와 연속 검사값을 학습하는 출력 설계의 영향을 혼동하지 않도록 같은 공동분포 출력을 사용하는 MLP와 선형 평균 모델도 포함하였다.</w:t>
      </w:r>
    </w:p>
    <w:p>
      <w:pPr>
        <w:widowControl/>
        <w:keepNext/>
        <w:keepLines/>
        <w:snapToGrid w:val="0"/>
        <w:jc w:val="left"/>
        <w:spacing w:before="95" w:after="45" w:line="260" w:lineRule="atLeast"/>
      </w:pPr>
      <w:r>
        <w:rPr>
          <w:rFonts w:ascii="Arial" w:hAnsi="Arial" w:eastAsia="맑은 고딕" w:cs="Arial"/>
          <w:sz w:val="21"/>
          <w:szCs w:val="21"/>
          <w:color w:val="000000"/>
          <w:b/>
        </w:rPr>
        <w:t xml:space="preserve">2. 연구 방법</w:t>
      </w:r>
    </w:p>
    <w:p>
      <w:pPr>
        <w:widowControl/>
        <w:keepNext/>
        <w:keepLines/>
        <w:snapToGrid w:val="0"/>
        <w:jc w:val="left"/>
        <w:spacing w:before="65" w:after="30" w:line="246" w:lineRule="atLeast"/>
      </w:pPr>
      <w:r>
        <w:rPr>
          <w:rFonts w:ascii="Arial" w:hAnsi="Arial" w:eastAsia="맑은 고딕" w:cs="Arial"/>
          <w:sz w:val="19"/>
          <w:szCs w:val="19"/>
          <w:color w:val="000000"/>
          <w:b/>
        </w:rPr>
        <w:t xml:space="preserve">2.1 자료와 대상자</w:t>
      </w:r>
    </w:p>
    <w:p>
      <w:pPr>
        <w:widowControl/>
        <w:snapToGrid w:val="0"/>
        <w:jc w:val="both"/>
        <w:spacing w:before="0" w:after="35" w:line="234" w:lineRule="exact"/>
        <w:ind w:firstLine="180"/>
      </w:pPr>
      <w:r>
        <w:rPr>
          <w:rFonts w:ascii="Arial" w:hAnsi="Arial" w:eastAsia="맑은 고딕" w:cs="Arial"/>
          <w:sz w:val="19"/>
          <w:szCs w:val="19"/>
          <w:color w:val="000000"/>
        </w:rPr>
        <w:t xml:space="preserve">질병관리청이 공개한 2020–2024년 원시자료를 사용하였다. 고혈압·당뇨·이상지질혈증의 기존 진단이 없고 관련 약물을 복용하지 않는다고 확인된 사람 중, 비임신 상태와 12시간 이상 공복이 확인되고 혈당·수축기 및 이완기 혈압·중성지방(TG)·HDL이 모두 관측된 대상을 남겼다. 검사값이 양수이고 수축기 혈압이 이완기 혈압보다 높으며 조사 설계정보가 유효한 19–39세는 5,229명이었다. 이를 20–39세 5,055명으로 제한한 뒤 영양조사 결합 가중치(wt_tot)가 양수인 4,508명을 분석하였다. 저녁 식사 관련 문항이 영양조사에 속하므로 같은 참여 집단을 모든 모델에 적용하였다.</w:t>
      </w:r>
    </w:p>
    <w:p>
      <w:pPr>
        <w:widowControl/>
        <w:snapToGrid w:val="0"/>
        <w:jc w:val="both"/>
        <w:spacing w:before="0" w:after="35" w:line="234" w:lineRule="exact"/>
        <w:ind w:firstLine="180"/>
      </w:pPr>
      <w:r>
        <w:rPr>
          <w:rFonts w:ascii="Arial" w:hAnsi="Arial" w:eastAsia="맑은 고딕" w:cs="Arial"/>
          <w:sz w:val="19"/>
          <w:szCs w:val="19"/>
          <w:color w:val="000000"/>
        </w:rPr>
        <w:t xml:space="preserve">연도별 인원은 2020년 851명, 2021년 792명, 2022년 926명, 2023년 965명, 2024년 974명이었다. 진단·복약·임신 상태의 모름과 정답 검사값의 결측은 정상으로 처리하지 않았다. 여기서 미인지는 진단과 관련 복약이 없다는 조작적 정의이며, 본인이 검사 결과를 전혀 알지 못한다는 사실까지 확인한 것은 아니다.</w:t>
      </w:r>
    </w:p>
    <w:p>
      <w:pPr>
        <w:widowControl/>
        <w:keepNext/>
        <w:keepLines/>
        <w:snapToGrid w:val="0"/>
        <w:jc w:val="left"/>
        <w:spacing w:before="65" w:after="30" w:line="246" w:lineRule="atLeast"/>
      </w:pPr>
      <w:r>
        <w:rPr>
          <w:rFonts w:ascii="Arial" w:hAnsi="Arial" w:eastAsia="맑은 고딕" w:cs="Arial"/>
          <w:sz w:val="19"/>
          <w:szCs w:val="19"/>
          <w:color w:val="000000"/>
          <w:b/>
        </w:rPr>
        <w:t xml:space="preserve">2.2 목표변수와 비침습적 입력</w:t>
      </w:r>
    </w:p>
    <w:p>
      <w:pPr>
        <w:widowControl/>
        <w:snapToGrid w:val="0"/>
        <w:jc w:val="both"/>
        <w:spacing w:before="0" w:after="35" w:line="234" w:lineRule="exact"/>
        <w:ind w:firstLine="180"/>
      </w:pPr>
      <w:r>
        <w:rPr>
          <w:rFonts w:ascii="Arial" w:hAnsi="Arial" w:eastAsia="맑은 고딕" w:cs="Arial"/>
          <w:sz w:val="19"/>
          <w:szCs w:val="19"/>
          <w:color w:val="000000"/>
        </w:rPr>
        <w:t xml:space="preserve">대사증후군 구성요소의 절단값을 참고해 혈당≥100 mg/dL, 수축기 혈압≥130 mmHg 또는 이완기 혈압≥85 mmHg, TG≥150 mg/dL, HDL&lt;40 mg/dL(남성) 또는 &lt;50 mg/dL(여성)를 각각 양성 소견으로 정의하였다[2]. TG와 저HDL을 하나의 지질 영역으로 묶어 혈당·혈압·지질 세 영역을 세었고, 표 1처럼 배타적인 다섯 군으로 구성하였다. TG와 저HDL만 함께 이상인 경우도 지질 단독에 속한다. 이 라벨은 검사 소견을 나타내며 질환 확진이나 대사증후군 진단과 같지 않다.</w:t>
      </w:r>
    </w:p>
    <w:p>
      <w:pPr>
        <w:widowControl/>
        <w:keepNext/>
        <w:keepLines/>
        <w:snapToGrid w:val="0"/>
        <w:jc w:val="center"/>
        <w:spacing w:before="25" w:after="55" w:line="218" w:lineRule="atLeast"/>
      </w:pPr>
      <w:r>
        <w:rPr>
          <w:rFonts w:ascii="Arial" w:hAnsi="Arial" w:eastAsia="맑은 고딕" w:cs="Arial"/>
          <w:sz w:val="18"/>
          <w:szCs w:val="18"/>
          <w:color w:val="000000"/>
        </w:rPr>
        <w:t xml:space="preserve">표 1. 대사소견군의 정의와 비가중 인원</w:t>
      </w:r>
    </w:p>
    <w:tbl>
      <w:tblPr>
        <w:tblW w:w="5028"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26" w:type="dxa"/>
          <w:bottom w:w="26" w:type="dxa"/>
          <w:left w:w="40" w:type="dxa"/>
          <w:right w:w="40" w:type="dxa"/>
        </w:tblCellMar>
      </w:tblPr>
      <w:tblGrid>
        <w:gridCol w:w="1257"/>
        <w:gridCol w:w="2914"/>
        <w:gridCol w:w="857"/>
      </w:tblGrid>
      <w:tr>
        <w:trPr>
          <w:cantSplit/>
          <w:tblHeader/>
        </w:trPr>
        <w:tc>
          <w:tcPr>
            <w:tcW w:w="1257" w:type="dxa"/>
            <w:vAlign w:val="center"/>
            <w:shd w:fill="EEF1F4" w:val="clear"/>
          </w:tcPr>
          <w:p>
            <w:pPr>
              <w:widowControl/>
              <w:snapToGrid w:val="0"/>
              <w:jc w:val="center"/>
              <w:spacing w:before="0" w:after="0" w:line="228" w:lineRule="atLeast"/>
            </w:pPr>
            <w:r>
              <w:rPr>
                <w:rFonts w:ascii="Arial" w:hAnsi="Arial" w:eastAsia="맑은 고딕" w:cs="Arial"/>
                <w:sz w:val="18"/>
                <w:szCs w:val="18"/>
                <w:color w:val="000000"/>
                <w:b/>
              </w:rPr>
              <w:t xml:space="preserve">군</w:t>
            </w:r>
          </w:p>
        </w:tc>
        <w:tc>
          <w:tcPr>
            <w:tcW w:w="2914" w:type="dxa"/>
            <w:vAlign w:val="center"/>
            <w:shd w:fill="EEF1F4" w:val="clear"/>
          </w:tcPr>
          <w:p>
            <w:pPr>
              <w:widowControl/>
              <w:snapToGrid w:val="0"/>
              <w:jc w:val="center"/>
              <w:spacing w:before="0" w:after="0" w:line="228" w:lineRule="atLeast"/>
            </w:pPr>
            <w:r>
              <w:rPr>
                <w:rFonts w:ascii="Arial" w:hAnsi="Arial" w:eastAsia="맑은 고딕" w:cs="Arial"/>
                <w:sz w:val="18"/>
                <w:szCs w:val="18"/>
                <w:color w:val="000000"/>
                <w:b/>
              </w:rPr>
              <w:t xml:space="preserve">정의</w:t>
            </w:r>
          </w:p>
        </w:tc>
        <w:tc>
          <w:tcPr>
            <w:tcW w:w="857" w:type="dxa"/>
            <w:vAlign w:val="center"/>
            <w:shd w:fill="EEF1F4" w:val="clear"/>
          </w:tcPr>
          <w:p>
            <w:pPr>
              <w:widowControl/>
              <w:snapToGrid w:val="0"/>
              <w:jc w:val="center"/>
              <w:spacing w:before="0" w:after="0" w:line="228" w:lineRule="atLeast"/>
            </w:pPr>
            <w:r>
              <w:rPr>
                <w:rFonts w:ascii="Arial" w:hAnsi="Arial" w:eastAsia="맑은 고딕" w:cs="Arial"/>
                <w:sz w:val="18"/>
                <w:szCs w:val="18"/>
                <w:color w:val="000000"/>
                <w:b/>
              </w:rPr>
              <w:t xml:space="preserve">n</w:t>
            </w:r>
          </w:p>
        </w:tc>
      </w:tr>
      <w:tr>
        <w:trPr>
          <w:cantSplit/>
        </w:trPr>
        <w:tc>
          <w:tcPr>
            <w:tcW w:w="12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정상</w:t>
            </w:r>
          </w:p>
        </w:tc>
        <w:tc>
          <w:tcPr>
            <w:tcW w:w="2914" w:type="dxa"/>
            <w:vAlign w:val="center"/>
          </w:tcPr>
          <w:p>
            <w:pPr>
              <w:widowControl/>
              <w:snapToGrid w:val="0"/>
              <w:jc w:val="left"/>
              <w:spacing w:before="0" w:after="0" w:line="228" w:lineRule="atLeast"/>
            </w:pPr>
            <w:r>
              <w:rPr>
                <w:rFonts w:ascii="Arial" w:hAnsi="Arial" w:eastAsia="맑은 고딕" w:cs="Arial"/>
                <w:sz w:val="18"/>
                <w:szCs w:val="18"/>
                <w:color w:val="000000"/>
              </w:rPr>
              <w:t xml:space="preserve">네 소견 모두 음성</w:t>
            </w:r>
          </w:p>
        </w:tc>
        <w:tc>
          <w:tcPr>
            <w:tcW w:w="8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2,796</w:t>
            </w:r>
          </w:p>
        </w:tc>
      </w:tr>
      <w:tr>
        <w:trPr>
          <w:cantSplit/>
        </w:trPr>
        <w:tc>
          <w:tcPr>
            <w:tcW w:w="12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혈압 단독</w:t>
            </w:r>
          </w:p>
        </w:tc>
        <w:tc>
          <w:tcPr>
            <w:tcW w:w="2914" w:type="dxa"/>
            <w:vAlign w:val="center"/>
          </w:tcPr>
          <w:p>
            <w:pPr>
              <w:widowControl/>
              <w:snapToGrid w:val="0"/>
              <w:jc w:val="left"/>
              <w:spacing w:before="0" w:after="0" w:line="228" w:lineRule="atLeast"/>
            </w:pPr>
            <w:r>
              <w:rPr>
                <w:rFonts w:ascii="Arial" w:hAnsi="Arial" w:eastAsia="맑은 고딕" w:cs="Arial"/>
                <w:sz w:val="18"/>
                <w:szCs w:val="18"/>
                <w:color w:val="000000"/>
              </w:rPr>
              <w:t xml:space="preserve">혈압 영역만 양성</w:t>
            </w:r>
          </w:p>
        </w:tc>
        <w:tc>
          <w:tcPr>
            <w:tcW w:w="8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183</w:t>
            </w:r>
          </w:p>
        </w:tc>
      </w:tr>
      <w:tr>
        <w:trPr>
          <w:cantSplit/>
        </w:trPr>
        <w:tc>
          <w:tcPr>
            <w:tcW w:w="12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혈당 단독</w:t>
            </w:r>
          </w:p>
        </w:tc>
        <w:tc>
          <w:tcPr>
            <w:tcW w:w="2914" w:type="dxa"/>
            <w:vAlign w:val="center"/>
          </w:tcPr>
          <w:p>
            <w:pPr>
              <w:widowControl/>
              <w:snapToGrid w:val="0"/>
              <w:jc w:val="left"/>
              <w:spacing w:before="0" w:after="0" w:line="228" w:lineRule="atLeast"/>
            </w:pPr>
            <w:r>
              <w:rPr>
                <w:rFonts w:ascii="Arial" w:hAnsi="Arial" w:eastAsia="맑은 고딕" w:cs="Arial"/>
                <w:sz w:val="18"/>
                <w:szCs w:val="18"/>
                <w:color w:val="000000"/>
              </w:rPr>
              <w:t xml:space="preserve">혈당 영역만 양성</w:t>
            </w:r>
          </w:p>
        </w:tc>
        <w:tc>
          <w:tcPr>
            <w:tcW w:w="8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233</w:t>
            </w:r>
          </w:p>
        </w:tc>
      </w:tr>
      <w:tr>
        <w:trPr>
          <w:cantSplit/>
        </w:trPr>
        <w:tc>
          <w:tcPr>
            <w:tcW w:w="12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지질 단독</w:t>
            </w:r>
          </w:p>
        </w:tc>
        <w:tc>
          <w:tcPr>
            <w:tcW w:w="2914" w:type="dxa"/>
            <w:vAlign w:val="center"/>
          </w:tcPr>
          <w:p>
            <w:pPr>
              <w:widowControl/>
              <w:snapToGrid w:val="0"/>
              <w:jc w:val="left"/>
              <w:spacing w:before="0" w:after="0" w:line="228" w:lineRule="atLeast"/>
            </w:pPr>
            <w:r>
              <w:rPr>
                <w:rFonts w:ascii="Arial" w:hAnsi="Arial" w:eastAsia="맑은 고딕" w:cs="Arial"/>
                <w:sz w:val="18"/>
                <w:szCs w:val="18"/>
                <w:color w:val="000000"/>
              </w:rPr>
              <w:t xml:space="preserve">지질 영역만 양성</w:t>
            </w:r>
          </w:p>
        </w:tc>
        <w:tc>
          <w:tcPr>
            <w:tcW w:w="8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813</w:t>
            </w:r>
          </w:p>
        </w:tc>
      </w:tr>
      <w:tr>
        <w:trPr>
          <w:cantSplit/>
        </w:trPr>
        <w:tc>
          <w:tcPr>
            <w:tcW w:w="12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복합</w:t>
            </w:r>
          </w:p>
        </w:tc>
        <w:tc>
          <w:tcPr>
            <w:tcW w:w="2914" w:type="dxa"/>
            <w:vAlign w:val="center"/>
          </w:tcPr>
          <w:p>
            <w:pPr>
              <w:widowControl/>
              <w:snapToGrid w:val="0"/>
              <w:jc w:val="left"/>
              <w:spacing w:before="0" w:after="0" w:line="228" w:lineRule="atLeast"/>
            </w:pPr>
            <w:r>
              <w:rPr>
                <w:rFonts w:ascii="Arial" w:hAnsi="Arial" w:eastAsia="맑은 고딕" w:cs="Arial"/>
                <w:sz w:val="18"/>
                <w:szCs w:val="18"/>
                <w:color w:val="000000"/>
              </w:rPr>
              <w:t xml:space="preserve">세 영역 중 두 영역 이상 양성</w:t>
            </w:r>
          </w:p>
        </w:tc>
        <w:tc>
          <w:tcPr>
            <w:tcW w:w="857"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483</w:t>
            </w:r>
          </w:p>
        </w:tc>
      </w:tr>
    </w:tbl>
    <w:p>
      <w:pPr>
        <w:widowControl/>
        <w:snapToGrid w:val="0"/>
        <w:jc w:val="both"/>
        <w:spacing w:before="0" w:after="35" w:line="234" w:lineRule="exact"/>
        <w:ind w:firstLine="180"/>
      </w:pPr>
      <w:r>
        <w:rPr>
          <w:rFonts w:ascii="Arial" w:hAnsi="Arial" w:eastAsia="맑은 고딕" w:cs="Arial"/>
          <w:sz w:val="19"/>
          <w:szCs w:val="19"/>
          <w:color w:val="000000"/>
        </w:rPr>
        <w:t xml:space="preserve">원자료에서 선택한 29개 열에는 검사값과 대상자 선별 문항이 포함되므로, 실제 예측 입력은 15개였다. 연령·성별·소득·교육, BMI·허리둘레·허리둘레/키 비율(WHtR), 현재흡연·월간음주·유산소 활동·1인가구 여부에 좌식시간·저녁 혼밥·최근 1년 체중 증가·취침 전 칫솔질 미실시를 더했다. 1인가구는 가구원 수 1명으로 정의했으며 실제 자취 여부를 직접 측정한 변수로 해석하지 않았다.</w:t>
      </w:r>
    </w:p>
    <w:p>
      <w:pPr>
        <w:widowControl/>
        <w:snapToGrid w:val="0"/>
        <w:jc w:val="both"/>
        <w:spacing w:before="0" w:after="35" w:line="234" w:lineRule="exact"/>
        <w:ind w:firstLine="180"/>
      </w:pPr>
      <w:r>
        <w:rPr>
          <w:rFonts w:ascii="Arial" w:hAnsi="Arial" w:eastAsia="맑은 고딕" w:cs="Arial"/>
          <w:sz w:val="19"/>
          <w:szCs w:val="19"/>
          <w:color w:val="000000"/>
        </w:rPr>
        <w:t xml:space="preserve">코드북에 따라 체중 변화는 BO1_1의 3을 증가로, 저녁 동반 식사는 L_DN_TO의 2를 혼밥으로 코딩하였다. 저녁 식사 빈도에 따른 비해당 응답은 별도 범주로 보존했다. 수치형 표준화의 가중 평균과 표준편차는 학습 부분에서만 구했고, 결측 지시자와 범주형 인코딩을 포함해 45열로 변환하였다. 검사값·진단·복약·개인 식별자는 추론 입력에 넣지 않았다.</w:t>
      </w:r>
    </w:p>
    <w:p>
      <w:pPr>
        <w:widowControl/>
        <w:keepLines/>
        <w:snapToGrid w:val="0"/>
        <w:jc w:val="center"/>
        <w:spacing w:before="25" w:after="55" w:line="218" w:lineRule="atLeast"/>
      </w:pPr>
      <w:r>
        <w:rPr>
          <w:rFonts w:ascii="Arial" w:hAnsi="Arial" w:eastAsia="맑은 고딕" w:cs="Arial"/>
          <w:sz w:val="19"/>
          <w:szCs w:val="19"/>
          <w:color w:val="000000"/>
        </w:rPr>
        <w:t xml:space="preserve">(그림1)</w:t>
      </w:r>
    </w:p>
    <w:p>
      <w:pPr>
        <w:widowControl/>
        <w:keepNext/>
        <w:keepLines/>
        <w:snapToGrid w:val="0"/>
        <w:jc w:val="left"/>
        <w:spacing w:before="65" w:after="30" w:line="246" w:lineRule="atLeast"/>
      </w:pPr>
      <w:r>
        <w:rPr>
          <w:rFonts w:ascii="Arial" w:hAnsi="Arial" w:eastAsia="맑은 고딕" w:cs="Arial"/>
          <w:sz w:val="19"/>
          <w:szCs w:val="19"/>
          <w:color w:val="000000"/>
          <w:b/>
        </w:rPr>
        <w:t xml:space="preserve">2.3 비교 모델과 공동분포 출력</w:t>
      </w:r>
    </w:p>
    <w:p>
      <w:pPr>
        <w:widowControl/>
        <w:snapToGrid w:val="0"/>
        <w:jc w:val="both"/>
        <w:spacing w:before="0" w:after="35" w:line="234" w:lineRule="exact"/>
        <w:ind w:firstLine="180"/>
      </w:pPr>
      <w:r>
        <w:rPr>
          <w:rFonts w:ascii="Arial" w:hAnsi="Arial" w:eastAsia="맑은 고딕" w:cs="Arial"/>
          <w:sz w:val="19"/>
          <w:szCs w:val="19"/>
          <w:color w:val="000000"/>
        </w:rPr>
        <w:t xml:space="preserve">직접 분류군은 다항 로지스틱 회귀(LR), 랜덤 포레스트(RF)[3], XGBoost(XGB)[4], LightGBM(LGBM)[5], MLP로 구성하였다. 공동분포군은 선형 평균 모델(jLinear), MLP(jMLP), EPF(jEPF)로 구성했으며, j는 공동분포 출력을 뜻한다. 공동분포군은 log 혈당, log 이완기 혈압, log(수축기−이완기 혈압), log TG, log HDL의 조건부 정규분포를 학습한다. 공분산은 대각 성분과 rank-one 성분의 합으로 나타내고, 학습 자료로 구한 Ridge 평균 앵커를 사용하였다.</w:t>
      </w:r>
    </w:p>
    <w:p>
      <w:pPr>
        <w:widowControl/>
        <w:snapToGrid w:val="0"/>
        <w:jc w:val="both"/>
        <w:spacing w:before="0" w:after="35" w:line="234" w:lineRule="exact"/>
        <w:ind w:firstLine="180"/>
      </w:pPr>
      <w:r>
        <w:rPr>
          <w:rFonts w:ascii="Arial" w:hAnsi="Arial" w:eastAsia="맑은 고딕" w:cs="Arial"/>
          <w:sz w:val="19"/>
          <w:szCs w:val="19"/>
          <w:color w:val="000000"/>
        </w:rPr>
        <w:t xml:space="preserve">학습된 분포에서 네 소견의 16개 조합 확률을 계산한 뒤, 표 1의 다섯 군 확률로 합산하였다. 연속 검사값은 학습 정답으로만 사용하며 추론 시에는 비침습적 입력만 필요하다. 직접 분류군이 다섯 군 라벨을 학습하는 것과 달리 공동분포군은 검사값의 연속 정보도 이용하므로, 두 군 사이의 차이를 신경망 구조만의 효과로 볼 수는 없다.</w:t>
      </w:r>
    </w:p>
    <w:p>
      <w:pPr>
        <w:widowControl/>
        <w:snapToGrid w:val="0"/>
        <w:jc w:val="both"/>
        <w:spacing w:before="0" w:after="35" w:line="234" w:lineRule="exact"/>
        <w:ind w:firstLine="180"/>
      </w:pPr>
      <w:r>
        <w:rPr>
          <w:rFonts w:ascii="Arial" w:hAnsi="Arial" w:eastAsia="맑은 고딕" w:cs="Arial"/>
          <w:sz w:val="19"/>
          <w:szCs w:val="19"/>
          <w:color w:val="000000"/>
        </w:rPr>
        <w:t xml:space="preserve">EPF는 12차원 복소 상태, 사건 추적 상태, 반대칭 가소성 행렬을 네 번의 내부 반복에서 함께 갱신하는 구현을 사용하였다. 상태 요약은 검사값의 평균 보정에, 가소성 행렬의 네 투영값은 공분산 보정에 연결하였다. 이는 한 사람의 입력을 처리하는 내부 계산이며 실제 시간에 따른 건강 변화를 추적하는 시계열 모델은 아니다. 평균·공분산이라는 같은 출력 형식을 jMLP와 jLinear에도 적용하여 비교했다. 내부 상태를 실제 생리 기전으로 해석하지는 않았다.</w:t>
      </w:r>
    </w:p>
    <w:p>
      <w:pPr>
        <w:widowControl/>
        <w:keepNext/>
        <w:keepLines/>
        <w:snapToGrid w:val="0"/>
        <w:jc w:val="left"/>
        <w:spacing w:before="65" w:after="30" w:line="246" w:lineRule="atLeast"/>
      </w:pPr>
      <w:r>
        <w:rPr>
          <w:rFonts w:ascii="Arial" w:hAnsi="Arial" w:eastAsia="맑은 고딕" w:cs="Arial"/>
          <w:sz w:val="19"/>
          <w:szCs w:val="19"/>
          <w:color w:val="000000"/>
          <w:b/>
        </w:rPr>
        <w:t xml:space="preserve">2.4 학습과 평가</w:t>
      </w:r>
    </w:p>
    <w:p>
      <w:pPr>
        <w:widowControl/>
        <w:snapToGrid w:val="0"/>
        <w:jc w:val="both"/>
        <w:spacing w:before="0" w:after="35" w:line="234" w:lineRule="exact"/>
        <w:ind w:firstLine="180"/>
      </w:pPr>
      <w:r>
        <w:rPr>
          <w:rFonts w:ascii="Arial" w:hAnsi="Arial" w:eastAsia="맑은 고딕" w:cs="Arial"/>
          <w:sz w:val="19"/>
          <w:szCs w:val="19"/>
          <w:color w:val="000000"/>
        </w:rPr>
        <w:t xml:space="preserve">연도별 균형을 고려해 조사구(PSU)를 다섯 외부 fold로 나누었고, 외부 학습 부분은 다시 PSU 기준 80% 학습·20% 검증으로 나누었다. 같은 조사구와 가구가 역할 사이에 겹치지 않도록 확인하였다. 모델별 후보 설정 8개를 seed 42에서 평가해 검증 macro AP로 선택했으며, LR을 제외한 최종 예측은 seed 42–44의 확률 평균을 사용했다. 모든 사람은 외부 평가에 한 번씩 포함되어 out-of-fold(OOF) 예측을 얻었다. 직접 신경망은 교차엔트로피, 공동분포 신경망은 Gaussian NLL로 학습·중단하되 후보 선택 지표는 통일하였다.</w:t>
      </w:r>
    </w:p>
    <w:p>
      <w:pPr>
        <w:widowControl/>
        <w:snapToGrid w:val="0"/>
        <w:jc w:val="both"/>
        <w:spacing w:before="0" w:after="35" w:line="234" w:lineRule="exact"/>
        <w:ind w:firstLine="180"/>
      </w:pPr>
      <w:r>
        <w:rPr>
          <w:rFonts w:ascii="Arial" w:hAnsi="Arial" w:eastAsia="맑은 고딕" w:cs="Arial"/>
          <w:sz w:val="19"/>
          <w:szCs w:val="19"/>
          <w:color w:val="000000"/>
        </w:rPr>
        <w:t xml:space="preserve">주 지표는 다섯 군 각각을 나머지와 구분하는 조사 가중 average precision(AP)의 산술평균이다. 클래스 불균형에서 양성 예측의 정확도와 재현율을 함께 살피기 위해 AP를 사용했고[6], macro AUROC·macro F1·NLL·Brier를 보조 지표로 계산하였다. F1은 최대 확률의 군을 선택해 구했다. wt_tot을 학습 부분의 평균이 1이 되도록 정규화했으며, 평가는 원래 조사 가중치를 적용했다.</w:t>
      </w:r>
    </w:p>
    <w:p>
      <w:pPr>
        <w:widowControl/>
        <w:snapToGrid w:val="0"/>
        <w:jc w:val="both"/>
        <w:spacing w:before="0" w:after="35" w:line="234" w:lineRule="exact"/>
        <w:ind w:firstLine="180"/>
      </w:pPr>
      <w:r>
        <w:rPr>
          <w:rFonts w:ascii="Arial" w:hAnsi="Arial" w:eastAsia="맑은 고딕" w:cs="Arial"/>
          <w:sz w:val="19"/>
          <w:szCs w:val="19"/>
          <w:color w:val="000000"/>
        </w:rPr>
        <w:t xml:space="preserve">95% 구간은 연도와 층 안에서 전체 조사 PSU를 Rao–Wu 방식으로 2,000회 재표집해 구하였다[7]. 같은 재표집 가중치를 모델 간 차이에도 적용했다. 이 구간은 적합된 모델의 OOF 예측을 고정한 조건부 구간으로, 재학습과 추가 튜닝에 따른 변동은 포함하지 않는다. 사전 지정한 주대조는 jEPF−jMLP의 macro AP이며, 다른 모델과의 차이는 보조 비교로 해석하였다.</w:t>
      </w:r>
    </w:p>
    <w:p>
      <w:pPr>
        <w:widowControl/>
        <w:keepNext/>
        <w:keepLines/>
        <w:snapToGrid w:val="0"/>
        <w:jc w:val="left"/>
        <w:spacing w:before="95" w:after="45" w:line="260" w:lineRule="atLeast"/>
      </w:pPr>
      <w:r>
        <w:rPr>
          <w:rFonts w:ascii="Arial" w:hAnsi="Arial" w:eastAsia="맑은 고딕" w:cs="Arial"/>
          <w:sz w:val="21"/>
          <w:szCs w:val="21"/>
          <w:color w:val="000000"/>
          <w:b/>
        </w:rPr>
        <w:t xml:space="preserve">3. 실험 결과</w:t>
      </w:r>
    </w:p>
    <w:p>
      <w:pPr>
        <w:widowControl/>
        <w:keepNext/>
        <w:keepLines/>
        <w:snapToGrid w:val="0"/>
        <w:jc w:val="left"/>
        <w:spacing w:before="65" w:after="30" w:line="246" w:lineRule="atLeast"/>
      </w:pPr>
      <w:r>
        <w:rPr>
          <w:rFonts w:ascii="Arial" w:hAnsi="Arial" w:eastAsia="맑은 고딕" w:cs="Arial"/>
          <w:sz w:val="19"/>
          <w:szCs w:val="19"/>
          <w:color w:val="000000"/>
          <w:b/>
        </w:rPr>
        <w:t xml:space="preserve">3.1 전체 성능과 모델 간 차이</w:t>
      </w:r>
    </w:p>
    <w:p>
      <w:pPr>
        <w:widowControl/>
        <w:snapToGrid w:val="0"/>
        <w:jc w:val="both"/>
        <w:spacing w:before="0" w:after="35" w:line="234" w:lineRule="exact"/>
        <w:ind w:firstLine="180"/>
      </w:pPr>
      <w:r>
        <w:rPr>
          <w:rFonts w:ascii="Arial" w:hAnsi="Arial" w:eastAsia="맑은 고딕" w:cs="Arial"/>
          <w:sz w:val="19"/>
          <w:szCs w:val="19"/>
          <w:color w:val="000000"/>
        </w:rPr>
        <w:t xml:space="preserve">표 2에서 macro AP가 가장 높은 모델은 LGBM(0.3515)이었고 jEPF(0.3515)가 비슷한 값을 보였다. LR은 0.3443, 직접 MLP는 0.3488이었다. 그러나 jEPF−LR 차이 0.0072의 95% 구간은 −0.0041–0.0177이었고, jEPF−LGBM 차이는 −0.00003(−0.0092–0.0100)이었다. 점추정 순위는 관찰되지만 이 결과만으로 jEPF가 기존 모델보다 우수하다고 결론 내릴 근거는 없다(그림 2).</w:t>
      </w:r>
    </w:p>
    <w:p>
      <w:pPr>
        <w:widowControl/>
        <w:keepNext/>
        <w:keepLines/>
        <w:snapToGrid w:val="0"/>
        <w:jc w:val="center"/>
        <w:spacing w:before="25" w:after="55" w:line="218" w:lineRule="atLeast"/>
      </w:pPr>
      <w:r>
        <w:rPr>
          <w:rFonts w:ascii="Arial" w:hAnsi="Arial" w:eastAsia="맑은 고딕" w:cs="Arial"/>
          <w:sz w:val="18"/>
          <w:szCs w:val="18"/>
          <w:color w:val="000000"/>
        </w:rPr>
        <w:t xml:space="preserve">표 2. 조사 가중 OOF 성능 비교</w:t>
      </w:r>
    </w:p>
    <w:tbl>
      <w:tblPr>
        <w:tblW w:w="5028" w:type="dxa"/>
        <w:jc w:val="center"/>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26" w:type="dxa"/>
          <w:bottom w:w="26" w:type="dxa"/>
          <w:left w:w="40" w:type="dxa"/>
          <w:right w:w="40" w:type="dxa"/>
        </w:tblCellMar>
      </w:tblPr>
      <w:tblGrid>
        <w:gridCol w:w="1028"/>
        <w:gridCol w:w="1028"/>
        <w:gridCol w:w="1028"/>
        <w:gridCol w:w="1028"/>
        <w:gridCol w:w="914"/>
      </w:tblGrid>
      <w:tr>
        <w:trPr>
          <w:cantSplit/>
          <w:tblHeader/>
        </w:trPr>
        <w:tc>
          <w:tcPr>
            <w:tcW w:w="1028" w:type="dxa"/>
            <w:vAlign w:val="center"/>
            <w:shd w:fill="EEF1F4" w:val="clear"/>
          </w:tcPr>
          <w:p>
            <w:pPr>
              <w:widowControl/>
              <w:snapToGrid w:val="0"/>
              <w:jc w:val="center"/>
              <w:spacing w:before="0" w:after="0" w:line="228" w:lineRule="atLeast"/>
            </w:pPr>
            <w:r>
              <w:rPr>
                <w:rFonts w:ascii="Arial" w:hAnsi="Arial" w:eastAsia="맑은 고딕" w:cs="Arial"/>
                <w:sz w:val="18"/>
                <w:szCs w:val="18"/>
                <w:color w:val="000000"/>
                <w:b/>
              </w:rPr>
              <w:t xml:space="preserve">모델</w:t>
            </w:r>
          </w:p>
        </w:tc>
        <w:tc>
          <w:tcPr>
            <w:tcW w:w="1028" w:type="dxa"/>
            <w:vAlign w:val="center"/>
            <w:shd w:fill="EEF1F4" w:val="clear"/>
          </w:tcPr>
          <w:p>
            <w:pPr>
              <w:widowControl/>
              <w:snapToGrid w:val="0"/>
              <w:jc w:val="center"/>
              <w:spacing w:before="0" w:after="0" w:line="228" w:lineRule="atLeast"/>
            </w:pPr>
            <w:r>
              <w:rPr>
                <w:rFonts w:ascii="Arial" w:hAnsi="Arial" w:eastAsia="맑은 고딕" w:cs="Arial"/>
                <w:sz w:val="18"/>
                <w:szCs w:val="18"/>
                <w:color w:val="000000"/>
                <w:b/>
              </w:rPr>
              <w:t xml:space="preserve">macro AP</w:t>
            </w:r>
          </w:p>
        </w:tc>
        <w:tc>
          <w:tcPr>
            <w:tcW w:w="1028" w:type="dxa"/>
            <w:vAlign w:val="center"/>
            <w:shd w:fill="EEF1F4" w:val="clear"/>
          </w:tcPr>
          <w:p>
            <w:pPr>
              <w:widowControl/>
              <w:snapToGrid w:val="0"/>
              <w:jc w:val="center"/>
              <w:spacing w:before="0" w:after="0" w:line="228" w:lineRule="atLeast"/>
            </w:pPr>
            <w:r>
              <w:rPr>
                <w:rFonts w:ascii="Arial" w:hAnsi="Arial" w:eastAsia="맑은 고딕" w:cs="Arial"/>
                <w:sz w:val="18"/>
                <w:szCs w:val="18"/>
                <w:color w:val="000000"/>
                <w:b/>
              </w:rPr>
              <w:t xml:space="preserve">AUROC</w:t>
            </w:r>
          </w:p>
        </w:tc>
        <w:tc>
          <w:tcPr>
            <w:tcW w:w="1028" w:type="dxa"/>
            <w:vAlign w:val="center"/>
            <w:shd w:fill="EEF1F4" w:val="clear"/>
          </w:tcPr>
          <w:p>
            <w:pPr>
              <w:widowControl/>
              <w:snapToGrid w:val="0"/>
              <w:jc w:val="center"/>
              <w:spacing w:before="0" w:after="0" w:line="228" w:lineRule="atLeast"/>
            </w:pPr>
            <w:r>
              <w:rPr>
                <w:rFonts w:ascii="Arial" w:hAnsi="Arial" w:eastAsia="맑은 고딕" w:cs="Arial"/>
                <w:sz w:val="18"/>
                <w:szCs w:val="18"/>
                <w:color w:val="000000"/>
                <w:b/>
              </w:rPr>
              <w:t xml:space="preserve">macro F1</w:t>
            </w:r>
          </w:p>
        </w:tc>
        <w:tc>
          <w:tcPr>
            <w:tcW w:w="914" w:type="dxa"/>
            <w:vAlign w:val="center"/>
            <w:shd w:fill="EEF1F4" w:val="clear"/>
          </w:tcPr>
          <w:p>
            <w:pPr>
              <w:widowControl/>
              <w:snapToGrid w:val="0"/>
              <w:jc w:val="center"/>
              <w:spacing w:before="0" w:after="0" w:line="228" w:lineRule="atLeast"/>
            </w:pPr>
            <w:r>
              <w:rPr>
                <w:rFonts w:ascii="Arial" w:hAnsi="Arial" w:eastAsia="맑은 고딕" w:cs="Arial"/>
                <w:sz w:val="18"/>
                <w:szCs w:val="18"/>
                <w:color w:val="000000"/>
                <w:b/>
              </w:rPr>
              <w:t xml:space="preserve">NLL</w:t>
            </w:r>
          </w:p>
        </w:tc>
      </w:tr>
      <w:tr>
        <w:trPr>
          <w:cantSplit/>
        </w:trPr>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LR</w:t>
            </w:r>
          </w:p>
        </w:tc>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0.3443</w:t>
            </w:r>
          </w:p>
        </w:tc>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0.7282</w:t>
            </w:r>
          </w:p>
        </w:tc>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0.2710</w:t>
            </w:r>
          </w:p>
        </w:tc>
        <w:tc>
          <w:tcPr>
            <w:tcW w:w="914"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0.9926</w:t>
            </w:r>
          </w:p>
        </w:tc>
      </w:tr>
      <w:tr>
        <w:trPr>
          <w:cantSplit/>
        </w:trPr>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RF</w:t>
            </w:r>
          </w:p>
        </w:tc>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0.3439</w:t>
            </w:r>
          </w:p>
        </w:tc>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0.7268</w:t>
            </w:r>
          </w:p>
        </w:tc>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0.2739</w:t>
            </w:r>
          </w:p>
        </w:tc>
        <w:tc>
          <w:tcPr>
            <w:tcW w:w="914"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0.9910</w:t>
            </w:r>
          </w:p>
        </w:tc>
      </w:tr>
      <w:tr>
        <w:trPr>
          <w:cantSplit/>
        </w:trPr>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XGB</w:t>
            </w:r>
          </w:p>
        </w:tc>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0.3493</w:t>
            </w:r>
          </w:p>
        </w:tc>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0.7334</w:t>
            </w:r>
          </w:p>
        </w:tc>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0.2843</w:t>
            </w:r>
          </w:p>
        </w:tc>
        <w:tc>
          <w:tcPr>
            <w:tcW w:w="914"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0.9842</w:t>
            </w:r>
          </w:p>
        </w:tc>
      </w:tr>
      <w:tr>
        <w:trPr>
          <w:cantSplit/>
        </w:trPr>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LGBM</w:t>
            </w:r>
          </w:p>
        </w:tc>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0.3515</w:t>
            </w:r>
          </w:p>
        </w:tc>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0.7321</w:t>
            </w:r>
          </w:p>
        </w:tc>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0.2824</w:t>
            </w:r>
          </w:p>
        </w:tc>
        <w:tc>
          <w:tcPr>
            <w:tcW w:w="914"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0.9870</w:t>
            </w:r>
          </w:p>
        </w:tc>
      </w:tr>
      <w:tr>
        <w:trPr>
          <w:cantSplit/>
        </w:trPr>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MLP</w:t>
            </w:r>
          </w:p>
        </w:tc>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0.3488</w:t>
            </w:r>
          </w:p>
        </w:tc>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0.7320</w:t>
            </w:r>
          </w:p>
        </w:tc>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0.2731</w:t>
            </w:r>
          </w:p>
        </w:tc>
        <w:tc>
          <w:tcPr>
            <w:tcW w:w="914"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0.9881</w:t>
            </w:r>
          </w:p>
        </w:tc>
      </w:tr>
      <w:tr>
        <w:trPr>
          <w:cantSplit/>
        </w:trPr>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jLinear</w:t>
            </w:r>
          </w:p>
        </w:tc>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0.3444</w:t>
            </w:r>
          </w:p>
        </w:tc>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0.7372</w:t>
            </w:r>
          </w:p>
        </w:tc>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0.2607</w:t>
            </w:r>
          </w:p>
        </w:tc>
        <w:tc>
          <w:tcPr>
            <w:tcW w:w="914"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0.9885</w:t>
            </w:r>
          </w:p>
        </w:tc>
      </w:tr>
      <w:tr>
        <w:trPr>
          <w:cantSplit/>
        </w:trPr>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jMLP</w:t>
            </w:r>
          </w:p>
        </w:tc>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0.3485</w:t>
            </w:r>
          </w:p>
        </w:tc>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0.7357</w:t>
            </w:r>
          </w:p>
        </w:tc>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0.2746</w:t>
            </w:r>
          </w:p>
        </w:tc>
        <w:tc>
          <w:tcPr>
            <w:tcW w:w="914"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0.9850</w:t>
            </w:r>
          </w:p>
        </w:tc>
      </w:tr>
      <w:tr>
        <w:trPr>
          <w:cantSplit/>
        </w:trPr>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jEPF</w:t>
            </w:r>
          </w:p>
        </w:tc>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0.3515</w:t>
            </w:r>
          </w:p>
        </w:tc>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0.7354</w:t>
            </w:r>
          </w:p>
        </w:tc>
        <w:tc>
          <w:tcPr>
            <w:tcW w:w="1028"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0.2829</w:t>
            </w:r>
          </w:p>
        </w:tc>
        <w:tc>
          <w:tcPr>
            <w:tcW w:w="914" w:type="dxa"/>
            <w:vAlign w:val="center"/>
          </w:tcPr>
          <w:p>
            <w:pPr>
              <w:widowControl/>
              <w:snapToGrid w:val="0"/>
              <w:jc w:val="center"/>
              <w:spacing w:before="0" w:after="0" w:line="228" w:lineRule="atLeast"/>
            </w:pPr>
            <w:r>
              <w:rPr>
                <w:rFonts w:ascii="Arial" w:hAnsi="Arial" w:eastAsia="맑은 고딕" w:cs="Arial"/>
                <w:sz w:val="18"/>
                <w:szCs w:val="18"/>
                <w:color w:val="000000"/>
              </w:rPr>
              <w:t xml:space="preserve">0.9857</w:t>
            </w:r>
          </w:p>
        </w:tc>
      </w:tr>
    </w:tbl>
    <w:p>
      <w:pPr>
        <w:widowControl/>
        <w:keepLines/>
        <w:snapToGrid w:val="0"/>
        <w:jc w:val="center"/>
        <w:spacing w:before="25" w:after="55" w:line="218" w:lineRule="atLeast"/>
      </w:pPr>
      <w:r>
        <w:rPr>
          <w:rFonts w:ascii="Arial" w:hAnsi="Arial" w:eastAsia="맑은 고딕" w:cs="Arial"/>
          <w:sz w:val="19"/>
          <w:szCs w:val="19"/>
          <w:color w:val="000000"/>
        </w:rPr>
        <w:t xml:space="preserve">(그림2)</w:t>
      </w:r>
    </w:p>
    <w:p>
      <w:pPr>
        <w:widowControl/>
        <w:snapToGrid w:val="0"/>
        <w:jc w:val="both"/>
        <w:spacing w:before="0" w:after="35" w:line="234" w:lineRule="exact"/>
        <w:ind w:firstLine="180"/>
      </w:pPr>
      <w:r>
        <w:rPr>
          <w:rFonts w:ascii="Arial" w:hAnsi="Arial" w:eastAsia="맑은 고딕" w:cs="Arial"/>
          <w:sz w:val="19"/>
          <w:szCs w:val="19"/>
          <w:color w:val="000000"/>
        </w:rPr>
        <w:t xml:space="preserve">같은 공동분포 출력을 사용하는 jMLP의 macro AP는 0.3485였다. 주대조 jEPF−jMLP는 0.0030, 95% 구간은 −0.0024–0.0088로 0을 포함하였다. macro AUROC는 jLinear가 0.7372로 가장 높았지만 이 모델의 macro AP는 0.3444로 낮은 편이었다. 따라서 순위 구분, 양성군 회수, 확률의 적합성을 함께 살펴야 하며 한 지표의 순위를 전체 성능으로 바꿔 읽어서는 안 된다.</w:t>
      </w:r>
    </w:p>
    <w:p>
      <w:pPr>
        <w:widowControl/>
        <w:keepNext/>
        <w:keepLines/>
        <w:snapToGrid w:val="0"/>
        <w:jc w:val="left"/>
        <w:spacing w:before="65" w:after="30" w:line="246" w:lineRule="atLeast"/>
      </w:pPr>
      <w:r>
        <w:rPr>
          <w:rFonts w:ascii="Arial" w:hAnsi="Arial" w:eastAsia="맑은 고딕" w:cs="Arial"/>
          <w:sz w:val="19"/>
          <w:szCs w:val="19"/>
          <w:color w:val="000000"/>
          <w:b/>
        </w:rPr>
        <w:t xml:space="preserve">3.2 대사소견 유형별 성능</w:t>
      </w:r>
    </w:p>
    <w:p>
      <w:pPr>
        <w:widowControl/>
        <w:snapToGrid w:val="0"/>
        <w:jc w:val="both"/>
        <w:spacing w:before="0" w:after="35" w:line="234" w:lineRule="exact"/>
        <w:ind w:firstLine="180"/>
      </w:pPr>
      <w:r>
        <w:rPr>
          <w:rFonts w:ascii="Arial" w:hAnsi="Arial" w:eastAsia="맑은 고딕" w:cs="Arial"/>
          <w:sz w:val="19"/>
          <w:szCs w:val="19"/>
          <w:color w:val="000000"/>
        </w:rPr>
        <w:t xml:space="preserve">jEPF의 군별 AP는 정상 0.8439, 혈압 단독 0.0782, 혈당 단독 0.0996, 지질 단독 0.3196, 복합 0.4162였다. 그림 3처럼 단독 혈압·혈당군의 낮은 AP는 다른 모델에서도 나타났다. jEPF가 일부 군에서 높은 값을 보여도 모든 군에서 일관되게 가장 좋은 것은 아니었다. 혈압 단독에서는 직접 MLP가 0.0838, 혈당 단독에서는 RF가 0.1170으로 더 높았다.</w:t>
      </w:r>
    </w:p>
    <w:p>
      <w:pPr>
        <w:widowControl/>
        <w:keepLines/>
        <w:snapToGrid w:val="0"/>
        <w:jc w:val="center"/>
        <w:spacing w:before="25" w:after="55" w:line="218" w:lineRule="atLeast"/>
      </w:pPr>
      <w:r>
        <w:rPr>
          <w:rFonts w:ascii="Arial" w:hAnsi="Arial" w:eastAsia="맑은 고딕" w:cs="Arial"/>
          <w:sz w:val="19"/>
          <w:szCs w:val="19"/>
          <w:color w:val="000000"/>
        </w:rPr>
        <w:t xml:space="preserve">(그림3)</w:t>
      </w:r>
    </w:p>
    <w:p>
      <w:pPr>
        <w:widowControl/>
        <w:snapToGrid w:val="0"/>
        <w:jc w:val="both"/>
        <w:spacing w:before="0" w:after="35" w:line="234" w:lineRule="exact"/>
        <w:ind w:firstLine="180"/>
      </w:pPr>
      <w:r>
        <w:rPr>
          <w:rFonts w:ascii="Arial" w:hAnsi="Arial" w:eastAsia="맑은 고딕" w:cs="Arial"/>
          <w:sz w:val="19"/>
          <w:szCs w:val="19"/>
          <w:color w:val="000000"/>
        </w:rPr>
        <w:t xml:space="preserve">정상군은 전체의 62.0%인 반면 혈압·혈당 단독군은 각각 4.1%, 5.2%였다(비가중 비율). 작은 양성군에서의 성능과 정상군의 높은 AP를 구분해 제시해야 비침습적 선별이 어느 유형까지 가능한지 판단할 수 있다. macro AP는 이 차이를 평균에 반영하지만, 단독 소견을 놓치는 문제 자체를 해소하지는 않는다.</w:t>
      </w:r>
    </w:p>
    <w:p>
      <w:pPr>
        <w:widowControl/>
        <w:keepNext/>
        <w:keepLines/>
        <w:snapToGrid w:val="0"/>
        <w:jc w:val="left"/>
        <w:spacing w:before="95" w:after="45" w:line="260" w:lineRule="atLeast"/>
      </w:pPr>
      <w:r>
        <w:rPr>
          <w:rFonts w:ascii="Arial" w:hAnsi="Arial" w:eastAsia="맑은 고딕" w:cs="Arial"/>
          <w:sz w:val="21"/>
          <w:szCs w:val="21"/>
          <w:color w:val="000000"/>
          <w:b/>
        </w:rPr>
        <w:t xml:space="preserve">4. 논의 및 결론</w:t>
      </w:r>
    </w:p>
    <w:p>
      <w:pPr>
        <w:widowControl/>
        <w:snapToGrid w:val="0"/>
        <w:jc w:val="both"/>
        <w:spacing w:before="0" w:after="35" w:line="234" w:lineRule="exact"/>
        <w:ind w:firstLine="180"/>
      </w:pPr>
      <w:r>
        <w:rPr>
          <w:rFonts w:ascii="Arial" w:hAnsi="Arial" w:eastAsia="맑은 고딕" w:cs="Arial"/>
          <w:sz w:val="19"/>
          <w:szCs w:val="19"/>
          <w:color w:val="000000"/>
        </w:rPr>
        <w:t xml:space="preserve">2020–2024년 청년 표본에서 다섯 대사소견군을 비교한 결과, LGBM과 jEPF의 macro AP는 거의 같았으며 jEPF의 구조적 우위를 확인하지 못했다. 공동분포 모델은 검사값의 연속 정보와 소견 조합을 함께 표현할 수 있지만, 이번 자료에서 그 표현이 다섯 군의 분류 성능을 일관되게 높이지는 않았다. EPF도 동일한 조건에서 검토할 수 있는 신경망 비교군으로서 의미가 있다.</w:t>
      </w:r>
    </w:p>
    <w:p>
      <w:pPr>
        <w:widowControl/>
        <w:snapToGrid w:val="0"/>
        <w:jc w:val="both"/>
        <w:spacing w:before="0" w:after="35" w:line="234" w:lineRule="exact"/>
        <w:ind w:firstLine="180"/>
      </w:pPr>
      <w:r>
        <w:rPr>
          <w:rFonts w:ascii="Arial" w:hAnsi="Arial" w:eastAsia="맑은 고딕" w:cs="Arial"/>
          <w:sz w:val="19"/>
          <w:szCs w:val="19"/>
          <w:color w:val="000000"/>
        </w:rPr>
        <w:t xml:space="preserve">주 지표와 계산 경로를 함께 고려하면 LGBM은 추가적인 분포 적분 없이 다섯 군을 직접 분류하는 우선 검토 후보이고, LR은 비교 기준으로 유지할 수 있다. 여러 소견의 조합 확률까지 출력해야 하는 경우에는 공동분포 모델이 별도의 후보가 된다. 다만 군별 AP가 낮은 혈압·혈당 단독군까지 실제 선별에 쓰려면 독립 자료에서 민감도·양성예측도와 의뢰율을 확인해야 한다. 본 비교에는 임상 적용을 위한 절단값 검증이 포함되지 않았다.</w:t>
      </w:r>
    </w:p>
    <w:p>
      <w:pPr>
        <w:widowControl/>
        <w:snapToGrid w:val="0"/>
        <w:jc w:val="both"/>
        <w:spacing w:before="0" w:after="35" w:line="234" w:lineRule="exact"/>
        <w:ind w:firstLine="180"/>
      </w:pPr>
      <w:r>
        <w:rPr>
          <w:rFonts w:ascii="Arial" w:hAnsi="Arial" w:eastAsia="맑은 고딕" w:cs="Arial"/>
          <w:sz w:val="19"/>
          <w:szCs w:val="19"/>
          <w:color w:val="000000"/>
        </w:rPr>
        <w:t xml:space="preserve">분석 대상은 진단·복약·공복·검사 완전성 및 영양조사 참여 조건을 충족한 사람으로 제한되어 전체 청년층과 다를 수 있다. 자가계측 자료가 아니라 조사에서 측정한 BMI·허리둘레를 사용했으므로, 가정에서 측정할 때의 오차도 따로 평가해야 한다. 연도별 혈압계와 검사기관·분석법 변경에 대한 별도 전환식 민감도 분석을 수행하지 않았으며, 반복 횡단면 자료만으로 미래 발병이나 생활습관의 원인 효과를 추론할 수 없다. 모델 재학습 불확실성과 다중 보조 비교도 남아 있는 한계다.</w:t>
      </w:r>
    </w:p>
    <w:p>
      <w:pPr>
        <w:widowControl/>
        <w:snapToGrid w:val="0"/>
        <w:jc w:val="both"/>
        <w:spacing w:before="0" w:after="35" w:line="234" w:lineRule="exact"/>
        <w:ind w:firstLine="180"/>
      </w:pPr>
      <w:r>
        <w:rPr>
          <w:rFonts w:ascii="Arial" w:hAnsi="Arial" w:eastAsia="맑은 고딕" w:cs="Arial"/>
          <w:sz w:val="19"/>
          <w:szCs w:val="19"/>
          <w:color w:val="000000"/>
        </w:rPr>
        <w:t xml:space="preserve">본 연구는 청년층 대사소견을 다섯 군으로 나누고 공통 표본·입력·조사구 분할에서 기존 분류기와 구현 신경망을 비교한 결과를 제시하였다. 현재 결과는 특정 모델의 임상적 우수성보다 유형별 분류의 한계를 보여준다. 후속 적용에서는 LGBM을 직접 분류의 우선 후보로 검토하되 LR과의 비교를 유지하고, 소견 조합 출력이 필요한 목적에 한해 공동분포 모델의 추가 가치를 평가할 수 있다.</w:t>
      </w:r>
    </w:p>
    <w:p>
      <w:pPr>
        <w:widowControl/>
        <w:keepNext/>
        <w:keepLines/>
        <w:snapToGrid w:val="0"/>
        <w:jc w:val="left"/>
        <w:spacing w:before="95" w:after="45" w:line="260" w:lineRule="atLeast"/>
      </w:pPr>
      <w:r>
        <w:rPr>
          <w:rFonts w:ascii="Arial" w:hAnsi="Arial" w:eastAsia="맑은 고딕" w:cs="Arial"/>
          <w:sz w:val="21"/>
          <w:szCs w:val="21"/>
          <w:color w:val="000000"/>
          <w:b/>
        </w:rPr>
        <w:t xml:space="preserve">참고문헌</w:t>
      </w:r>
    </w:p>
    <w:p>
      <w:pPr>
        <w:widowControl/>
        <w:snapToGrid w:val="0"/>
        <w:jc w:val="left"/>
        <w:spacing w:before="0" w:after="18" w:line="225" w:lineRule="exact"/>
        <w:ind w:left="190" w:hanging="190"/>
      </w:pPr>
      <w:r>
        <w:rPr>
          <w:rFonts w:ascii="Arial" w:hAnsi="Arial" w:eastAsia="맑은 고딕" w:cs="Arial"/>
          <w:sz w:val="18"/>
          <w:szCs w:val="18"/>
          <w:color w:val="000000"/>
        </w:rPr>
        <w:t xml:space="preserve">[1] S. Kweon et al., “Data Resource Profile: The Korea National Health and Nutrition Examination Survey (KNHANES),” International Journal of Epidemiology, vol. 43, no. 1, pp. 69–77, 2014. doi:10.1093/ije/dyt228.</w:t>
      </w:r>
    </w:p>
    <w:p>
      <w:pPr>
        <w:widowControl/>
        <w:snapToGrid w:val="0"/>
        <w:jc w:val="left"/>
        <w:spacing w:before="0" w:after="18" w:line="225" w:lineRule="exact"/>
        <w:ind w:left="190" w:hanging="190"/>
      </w:pPr>
      <w:r>
        <w:rPr>
          <w:rFonts w:ascii="Arial" w:hAnsi="Arial" w:eastAsia="맑은 고딕" w:cs="Arial"/>
          <w:sz w:val="18"/>
          <w:szCs w:val="18"/>
          <w:color w:val="000000"/>
        </w:rPr>
        <w:t xml:space="preserve">[2] S. M. Grundy et al., “Diagnosis and management of the metabolic syndrome: an American Heart Association/National Heart, Lung, and Blood Institute Scientific Statement,” Circulation, vol. 112, no. 17, pp. 2735–2752, 2005. doi:10.1161/CIRCULATIONAHA.105.169404.</w:t>
      </w:r>
    </w:p>
    <w:p>
      <w:pPr>
        <w:widowControl/>
        <w:snapToGrid w:val="0"/>
        <w:jc w:val="left"/>
        <w:spacing w:before="0" w:after="18" w:line="225" w:lineRule="exact"/>
        <w:ind w:left="190" w:hanging="190"/>
      </w:pPr>
      <w:r>
        <w:rPr>
          <w:rFonts w:ascii="Arial" w:hAnsi="Arial" w:eastAsia="맑은 고딕" w:cs="Arial"/>
          <w:sz w:val="18"/>
          <w:szCs w:val="18"/>
          <w:color w:val="000000"/>
        </w:rPr>
        <w:t xml:space="preserve">[3] L. Breiman, “Random Forests,” Machine Learning, vol. 45, no. 1, pp. 5–32, 2001. doi:10.1023/A:1010933404324.</w:t>
      </w:r>
    </w:p>
    <w:p>
      <w:pPr>
        <w:widowControl/>
        <w:snapToGrid w:val="0"/>
        <w:jc w:val="left"/>
        <w:spacing w:before="0" w:after="18" w:line="225" w:lineRule="exact"/>
        <w:ind w:left="190" w:hanging="190"/>
      </w:pPr>
      <w:r>
        <w:rPr>
          <w:rFonts w:ascii="Arial" w:hAnsi="Arial" w:eastAsia="맑은 고딕" w:cs="Arial"/>
          <w:sz w:val="18"/>
          <w:szCs w:val="18"/>
          <w:color w:val="000000"/>
        </w:rPr>
        <w:t xml:space="preserve">[4] T. Chen and C. Guestrin, “XGBoost: A Scalable Tree Boosting System,” in Proc. ACM SIGKDD, pp. 785–794, 2016. doi:10.1145/2939672.2939785.</w:t>
      </w:r>
    </w:p>
    <w:p>
      <w:pPr>
        <w:widowControl/>
        <w:snapToGrid w:val="0"/>
        <w:jc w:val="left"/>
        <w:spacing w:before="0" w:after="18" w:line="225" w:lineRule="exact"/>
        <w:ind w:left="190" w:hanging="190"/>
      </w:pPr>
      <w:r>
        <w:rPr>
          <w:rFonts w:ascii="Arial" w:hAnsi="Arial" w:eastAsia="맑은 고딕" w:cs="Arial"/>
          <w:sz w:val="18"/>
          <w:szCs w:val="18"/>
          <w:color w:val="000000"/>
        </w:rPr>
        <w:t xml:space="preserve">[5] G. Ke et al., “LightGBM: A Highly Efficient Gradient Boosting Decision Tree,” in Advances in Neural Information Processing Systems, vol. 30, pp. 3146–3154, 2017.</w:t>
      </w:r>
    </w:p>
    <w:p>
      <w:pPr>
        <w:widowControl/>
        <w:snapToGrid w:val="0"/>
        <w:jc w:val="left"/>
        <w:spacing w:before="0" w:after="18" w:line="225" w:lineRule="exact"/>
        <w:ind w:left="190" w:hanging="190"/>
      </w:pPr>
      <w:r>
        <w:rPr>
          <w:rFonts w:ascii="Arial" w:hAnsi="Arial" w:eastAsia="맑은 고딕" w:cs="Arial"/>
          <w:sz w:val="18"/>
          <w:szCs w:val="18"/>
          <w:color w:val="000000"/>
        </w:rPr>
        <w:t xml:space="preserve">[6] T. Saito and M. Rehmsmeier, “The Precision-Recall Plot Is More Informative than the ROC Plot When Evaluating Binary Classifiers on Imbalanced Datasets,” PLOS ONE, vol. 10, no. 3, e0118432, 2015. doi:10.1371/journal.pone.0118432.</w:t>
      </w:r>
    </w:p>
    <w:p>
      <w:pPr>
        <w:widowControl/>
        <w:snapToGrid w:val="0"/>
        <w:jc w:val="left"/>
        <w:spacing w:before="0" w:after="18" w:line="225" w:lineRule="exact"/>
        <w:ind w:left="190" w:hanging="190"/>
      </w:pPr>
      <w:r>
        <w:rPr>
          <w:rFonts w:ascii="Arial" w:hAnsi="Arial" w:eastAsia="맑은 고딕" w:cs="Arial"/>
          <w:sz w:val="18"/>
          <w:szCs w:val="18"/>
          <w:color w:val="000000"/>
        </w:rPr>
        <w:t xml:space="preserve">[7] J. N. K. Rao and C. F. J. Wu, “Resampling Inference with Complex Survey Data,” Journal of the American Statistical Association, vol. 83, no. 401, pp. 231–241, 1988. doi:10.1080/01621459.1988.10478591.</w:t>
      </w:r>
    </w:p>
    <w:p>
      <w:pPr>
        <w:widowControl/>
        <w:keepNext/>
        <w:keepLines/>
        <w:snapToGrid w:val="0"/>
        <w:jc w:val="center"/>
        <w:spacing w:before="30" w:after="10" w:line="240" w:lineRule="atLeast"/>
        <w:pageBreakBefore/>
      </w:pPr>
      <w:r>
        <w:rPr>
          <w:rFonts w:ascii="Arial" w:hAnsi="Arial" w:eastAsia="맑은 고딕" w:cs="Arial"/>
          <w:sz w:val="19"/>
          <w:szCs w:val="19"/>
          <w:color w:val="000000"/>
        </w:rPr>
        <w:t xml:space="preserve"/>
      </w:r>
      <w:r>
        <w:drawing>
          <wp:inline distT="0" distB="0" distL="0" distR="0">
            <wp:extent cx="3175200" cy="2238107"/>
            <wp:effectExtent l="0" t="0" r="0" b="0"/>
            <wp:docPr id="1" name="fig1_pipeline" descr="대상자 선정과 공통 평가 절차"/>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fig1_pipeline.png"/>
                    <ns4:cNvPicPr/>
                  </ns4:nvPicPr>
                  <ns4:blipFill>
                    <ns3:blip r:embed="rIdPaperImage1"/>
                    <ns3:stretch>
                      <ns3:fillRect/>
                    </ns3:stretch>
                  </ns4:blipFill>
                  <ns4:spPr>
                    <ns3:xfrm>
                      <ns3:off x="0" y="0"/>
                      <ns3:ext cx="3175200" cy="2238107"/>
                    </ns3:xfrm>
                    <ns3:prstGeom prst="rect">
                      <ns3:avLst/>
                    </ns3:prstGeom>
                  </ns4:spPr>
                </ns4:pic>
              </ns3:graphicData>
            </ns3:graphic>
          </wp:inline>
        </w:drawing>
      </w:r>
    </w:p>
    <w:p>
      <w:pPr>
        <w:widowControl/>
        <w:keepLines/>
        <w:snapToGrid w:val="0"/>
        <w:jc w:val="left"/>
        <w:spacing w:before="25" w:after="55" w:line="218" w:lineRule="atLeast"/>
      </w:pPr>
      <w:r>
        <w:rPr>
          <w:rFonts w:ascii="Arial" w:hAnsi="Arial" w:eastAsia="맑은 고딕" w:cs="Arial"/>
          <w:sz w:val="18"/>
          <w:szCs w:val="18"/>
          <w:color w:val="000000"/>
        </w:rPr>
        <w:t xml:space="preserve">그림 1. 공통 대상자 선정과 두 학습 경로. 모든 모델에 같은 15개 입력과 조사구 분할을 적용하였다.</w:t>
      </w:r>
    </w:p>
    <w:p>
      <w:pPr>
        <w:widowControl/>
        <w:keepNext/>
        <w:keepLines/>
        <w:snapToGrid w:val="0"/>
        <w:jc w:val="center"/>
        <w:spacing w:before="30" w:after="10" w:line="240" w:lineRule="atLeast"/>
      </w:pPr>
      <w:r>
        <w:rPr>
          <w:rFonts w:ascii="Arial" w:hAnsi="Arial" w:eastAsia="맑은 고딕" w:cs="Arial"/>
          <w:sz w:val="19"/>
          <w:szCs w:val="19"/>
          <w:color w:val="000000"/>
        </w:rPr>
        <w:t xml:space="preserve"/>
      </w:r>
      <w:r>
        <w:drawing>
          <wp:inline distT="0" distB="0" distL="0" distR="0">
            <wp:extent cx="3175200" cy="2265401"/>
            <wp:effectExtent l="0" t="0" r="0" b="0"/>
            <wp:docPr id="2" name="fig2_macro_ap" descr="모델별 macro AP와 95% 구간"/>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fig2_macro_ap.png"/>
                    <ns4:cNvPicPr/>
                  </ns4:nvPicPr>
                  <ns4:blipFill>
                    <ns3:blip r:embed="rIdPaperImage2"/>
                    <ns3:stretch>
                      <ns3:fillRect/>
                    </ns3:stretch>
                  </ns4:blipFill>
                  <ns4:spPr>
                    <ns3:xfrm>
                      <ns3:off x="0" y="0"/>
                      <ns3:ext cx="3175200" cy="2265401"/>
                    </ns3:xfrm>
                    <ns3:prstGeom prst="rect">
                      <ns3:avLst/>
                    </ns3:prstGeom>
                  </ns4:spPr>
                </ns4:pic>
              </ns3:graphicData>
            </ns3:graphic>
          </wp:inline>
        </w:drawing>
      </w:r>
    </w:p>
    <w:p>
      <w:pPr>
        <w:widowControl/>
        <w:keepLines/>
        <w:snapToGrid w:val="0"/>
        <w:jc w:val="left"/>
        <w:spacing w:before="25" w:after="55" w:line="218" w:lineRule="atLeast"/>
      </w:pPr>
      <w:r>
        <w:rPr>
          <w:rFonts w:ascii="Arial" w:hAnsi="Arial" w:eastAsia="맑은 고딕" w:cs="Arial"/>
          <w:sz w:val="18"/>
          <w:szCs w:val="18"/>
          <w:color w:val="000000"/>
        </w:rPr>
        <w:t xml:space="preserve">그림 2. 모델별 macro AP와 95% PSU 재표집 구간. 작은 차이가 보이도록 가로축을 확대하였다.</w:t>
      </w:r>
    </w:p>
    <w:p>
      <w:pPr>
        <w:widowControl/>
        <w:keepNext/>
        <w:keepLines/>
        <w:snapToGrid w:val="0"/>
        <w:jc w:val="center"/>
        <w:spacing w:before="30" w:after="10" w:line="240" w:lineRule="atLeast"/>
      </w:pPr>
      <w:r>
        <w:rPr>
          <w:rFonts w:ascii="Arial" w:hAnsi="Arial" w:eastAsia="맑은 고딕" w:cs="Arial"/>
          <w:sz w:val="19"/>
          <w:szCs w:val="19"/>
          <w:color w:val="000000"/>
        </w:rPr>
        <w:t xml:space="preserve"/>
      </w:r>
      <w:r>
        <w:drawing>
          <wp:inline distT="0" distB="0" distL="0" distR="0">
            <wp:extent cx="3175200" cy="2338185"/>
            <wp:effectExtent l="0" t="0" r="0" b="0"/>
            <wp:docPr id="3" name="fig3_class_ap" descr="이상소견군별 AP 비교"/>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fig3_class_ap.png"/>
                    <ns4:cNvPicPr/>
                  </ns4:nvPicPr>
                  <ns4:blipFill>
                    <ns3:blip r:embed="rIdPaperImage3"/>
                    <ns3:stretch>
                      <ns3:fillRect/>
                    </ns3:stretch>
                  </ns4:blipFill>
                  <ns4:spPr>
                    <ns3:xfrm>
                      <ns3:off x="0" y="0"/>
                      <ns3:ext cx="3175200" cy="2338185"/>
                    </ns3:xfrm>
                    <ns3:prstGeom prst="rect">
                      <ns3:avLst/>
                    </ns3:prstGeom>
                  </ns4:spPr>
                </ns4:pic>
              </ns3:graphicData>
            </ns3:graphic>
          </wp:inline>
        </w:drawing>
      </w:r>
    </w:p>
    <w:p>
      <w:pPr>
        <w:widowControl/>
        <w:keepLines/>
        <w:snapToGrid w:val="0"/>
        <w:jc w:val="left"/>
        <w:spacing w:before="25" w:after="55" w:line="218" w:lineRule="atLeast"/>
      </w:pPr>
      <w:r>
        <w:rPr>
          <w:rFonts w:ascii="Arial" w:hAnsi="Arial" w:eastAsia="맑은 고딕" w:cs="Arial"/>
          <w:sz w:val="18"/>
          <w:szCs w:val="18"/>
          <w:color w:val="000000"/>
        </w:rPr>
        <w:t xml:space="preserve">그림 3. 이상소견 네 군의 AP. 빈 원은 나머지 비교 모델이며 점선은 각 군의 조사 가중 비율이다. 점의 가로 이동은 겹침을 피하기 위한 표시다.</w:t>
      </w:r>
    </w:p>
    <w:sectPr w:rsidR="00D31B16">
      <w:type w:val="continuous"/>
      <w:pgSz w:w="11906" w:h="16838" w:code="9"/>
      <w:pgMar w:top="1701" w:right="567" w:bottom="1134" w:left="567" w:header="0" w:footer="0" w:gutter="0"/>
      <w:cols w:num="2" w:space="720"/>
      <w:docGrid w:type="lines" w:linePitch="2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½Å¸íÁ¶">
    <w:altName w:val="Times New Roman"/>
    <w:panose1 w:val="00000000000000000000"/>
    <w:charset w:val="00"/>
    <w:family w:val="auto"/>
    <w:notTrueType/>
    <w:pitch w:val="default"/>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 w:name="함초롬돋움">
    <w:panose1 w:val="02030504000101010101"/>
    <w:charset w:val="81"/>
    <w:family w:val="modern"/>
    <w:pitch w:val="variable"/>
    <w:sig w:usb0="F7002EFF" w:usb1="19DFFFFF" w:usb2="001BFDD7" w:usb3="00000000" w:csb0="001F007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CC4F8A"/>
    <w:multiLevelType w:val="hybridMultilevel"/>
    <w:tmpl w:val="E6029D4A"/>
    <w:lvl w:ilvl="0" w:tplc="182A811E">
      <w:start w:val="1"/>
      <w:numFmt w:val="decimalEnclosedCircle"/>
      <w:lvlText w:val="%1"/>
      <w:lvlJc w:val="left"/>
      <w:pPr>
        <w:ind w:left="760" w:hanging="360"/>
      </w:pPr>
      <w:rPr>
        <w:rFonts w:cs="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nsid w:val="77141D56"/>
    <w:multiLevelType w:val="hybridMultilevel"/>
    <w:tmpl w:val="F3B2AB58"/>
    <w:lvl w:ilvl="0" w:tplc="E3E8C42A">
      <w:start w:val="4"/>
      <w:numFmt w:val="bullet"/>
      <w:lvlText w:val="-"/>
      <w:lvlJc w:val="left"/>
      <w:pPr>
        <w:ind w:left="950" w:hanging="360"/>
      </w:pPr>
      <w:rPr>
        <w:rFonts w:ascii="굴림" w:eastAsia="굴림" w:hAnsi="굴림" w:cs="굴림" w:hint="eastAsia"/>
      </w:rPr>
    </w:lvl>
    <w:lvl w:ilvl="1" w:tplc="04090003" w:tentative="1">
      <w:start w:val="1"/>
      <w:numFmt w:val="bullet"/>
      <w:lvlText w:val=""/>
      <w:lvlJc w:val="left"/>
      <w:pPr>
        <w:ind w:left="1390" w:hanging="400"/>
      </w:pPr>
      <w:rPr>
        <w:rFonts w:ascii="Wingdings" w:hAnsi="Wingdings" w:hint="default"/>
      </w:rPr>
    </w:lvl>
    <w:lvl w:ilvl="2" w:tplc="04090005" w:tentative="1">
      <w:start w:val="1"/>
      <w:numFmt w:val="bullet"/>
      <w:lvlText w:val=""/>
      <w:lvlJc w:val="left"/>
      <w:pPr>
        <w:ind w:left="1790" w:hanging="400"/>
      </w:pPr>
      <w:rPr>
        <w:rFonts w:ascii="Wingdings" w:hAnsi="Wingdings" w:hint="default"/>
      </w:rPr>
    </w:lvl>
    <w:lvl w:ilvl="3" w:tplc="04090001" w:tentative="1">
      <w:start w:val="1"/>
      <w:numFmt w:val="bullet"/>
      <w:lvlText w:val=""/>
      <w:lvlJc w:val="left"/>
      <w:pPr>
        <w:ind w:left="2190" w:hanging="400"/>
      </w:pPr>
      <w:rPr>
        <w:rFonts w:ascii="Wingdings" w:hAnsi="Wingdings" w:hint="default"/>
      </w:rPr>
    </w:lvl>
    <w:lvl w:ilvl="4" w:tplc="04090003" w:tentative="1">
      <w:start w:val="1"/>
      <w:numFmt w:val="bullet"/>
      <w:lvlText w:val=""/>
      <w:lvlJc w:val="left"/>
      <w:pPr>
        <w:ind w:left="2590" w:hanging="400"/>
      </w:pPr>
      <w:rPr>
        <w:rFonts w:ascii="Wingdings" w:hAnsi="Wingdings" w:hint="default"/>
      </w:rPr>
    </w:lvl>
    <w:lvl w:ilvl="5" w:tplc="04090005" w:tentative="1">
      <w:start w:val="1"/>
      <w:numFmt w:val="bullet"/>
      <w:lvlText w:val=""/>
      <w:lvlJc w:val="left"/>
      <w:pPr>
        <w:ind w:left="2990" w:hanging="400"/>
      </w:pPr>
      <w:rPr>
        <w:rFonts w:ascii="Wingdings" w:hAnsi="Wingdings" w:hint="default"/>
      </w:rPr>
    </w:lvl>
    <w:lvl w:ilvl="6" w:tplc="04090001" w:tentative="1">
      <w:start w:val="1"/>
      <w:numFmt w:val="bullet"/>
      <w:lvlText w:val=""/>
      <w:lvlJc w:val="left"/>
      <w:pPr>
        <w:ind w:left="3390" w:hanging="400"/>
      </w:pPr>
      <w:rPr>
        <w:rFonts w:ascii="Wingdings" w:hAnsi="Wingdings" w:hint="default"/>
      </w:rPr>
    </w:lvl>
    <w:lvl w:ilvl="7" w:tplc="04090003" w:tentative="1">
      <w:start w:val="1"/>
      <w:numFmt w:val="bullet"/>
      <w:lvlText w:val=""/>
      <w:lvlJc w:val="left"/>
      <w:pPr>
        <w:ind w:left="3790" w:hanging="400"/>
      </w:pPr>
      <w:rPr>
        <w:rFonts w:ascii="Wingdings" w:hAnsi="Wingdings" w:hint="default"/>
      </w:rPr>
    </w:lvl>
    <w:lvl w:ilvl="8" w:tplc="04090005" w:tentative="1">
      <w:start w:val="1"/>
      <w:numFmt w:val="bullet"/>
      <w:lvlText w:val=""/>
      <w:lvlJc w:val="left"/>
      <w:pPr>
        <w:ind w:left="4190" w:hanging="40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B16"/>
    <w:rsid w:val="00B90911"/>
    <w:rsid w:val="00D31B16"/>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 w:type="paragraph" w:styleId="Title">
    <w:name w:val="Title"/>
    <w:basedOn w:val="Normal"/>
    <w:next w:val="Normal"/>
    <w:qFormat/>
    <w:pPr>
      <w:jc w:val="center"/>
    </w:pPr>
    <w:rPr>
      <w:color w:val="000000"/>
      <w:sz w:val="32"/>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kiise.or.kr/conference02/data/sample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iise.or.kr/conference02/data/sample1.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PaperImage1" Type="http://schemas.openxmlformats.org/officeDocument/2006/relationships/image" Target="media/paper_1.png"/><Relationship Id="rIdPaperImage2" Type="http://schemas.openxmlformats.org/officeDocument/2006/relationships/image" Target="media/paper_2.png"/><Relationship Id="rIdPaperImage3" Type="http://schemas.openxmlformats.org/officeDocument/2006/relationships/image" Target="media/paper_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281</Words>
  <Characters>1604</Characters>
  <Application>Microsoft Office Word</Application>
  <DocSecurity>0</DocSecurity>
  <Lines>13</Lines>
  <Paragraphs>3</Paragraphs>
  <ScaleCrop>false</ScaleCrop>
  <Manager/>
  <Company/>
  <LinksUpToDate>false</LinksUpToDate>
  <CharactersWithSpaces>1882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2025-09-22T02:05:00Z</dcterms:created>
  <dcterms:modified xsi:type="dcterms:W3CDTF">2026-09-04T08:52:00Z</dcterms:modified>
  <cp:version>1300.0100.01</cp:version>
</cp:coreProperties>
</file>