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485FE8">
        <w:trPr>
          <w:gridBefore w:val="1"/>
          <w:gridAfter w:val="1"/>
          <w:wBefore w:w="262" w:type="dxa"/>
          <w:wAfter w:w="236" w:type="dxa"/>
        </w:trPr>
        <w:tc>
          <w:tcPr>
            <w:tcW w:w="8460" w:type="dxa"/>
            <w:vAlign w:val="center"/>
          </w:tcPr>
          <w:p>
            <w:pPr>
              <w:pStyle w:val="Title"/>
              <w:widowControl/>
              <w:keepLines/>
              <w:snapToGrid w:val="0"/>
              <w:jc w:val="center"/>
              <w:spacing w:before="15" w:after="75" w:line="384" w:lineRule="atLeast"/>
            </w:pPr>
            <w:r>
              <w:rPr>
                <w:rFonts w:ascii="Arial" w:hAnsi="Arial" w:eastAsia="맑은 고딕" w:cs="Arial"/>
                <w:sz w:val="32"/>
                <w:szCs w:val="32"/>
                <w:color w:val="000000"/>
                <w:b/>
              </w:rPr>
              <w:t xml:space="preserve">EPF 신경망을 이용한 청년층 대사이상 유형 분류와 생활습관 관련 요인 분석</w:t>
            </w:r>
          </w:p>
        </w:tc>
        <w:bookmarkStart w:id="0" w:name="_GoBack"/>
        <w:bookmarkEnd w:id="0"/>
      </w:tr>
      <w:tr w:rsidR="00485FE8">
        <w:trPr>
          <w:gridBefore w:val="1"/>
          <w:gridAfter w:val="1"/>
          <w:wBefore w:w="262" w:type="dxa"/>
          <w:wAfter w:w="236" w:type="dxa"/>
        </w:trPr>
        <w:tc>
          <w:tcPr>
            <w:tcW w:w="8460"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김동욱*       김준성*       안홍렬†</w:t>
            </w:r>
          </w:p>
          <w:p>
            <w:pPr>
              <w:widowControl/>
              <w:snapToGrid w:val="0"/>
              <w:jc w:val="center"/>
              <w:spacing w:before="0" w:after="0" w:line="228" w:lineRule="atLeast"/>
            </w:pPr>
            <w:r>
              <w:rPr>
                <w:rFonts w:ascii="Arial" w:hAnsi="Arial" w:eastAsia="맑은 고딕" w:cs="Arial"/>
                <w:sz w:val="18"/>
                <w:szCs w:val="18"/>
                <w:color w:val="000000"/>
              </w:rPr>
              <w:t xml:space="preserve">수원대학교 데이터과학부*</w:t>
            </w:r>
          </w:p>
          <w:p>
            <w:pPr>
              <w:widowControl/>
              <w:snapToGrid w:val="0"/>
              <w:jc w:val="center"/>
              <w:spacing w:before="0" w:after="0" w:line="228" w:lineRule="atLeast"/>
            </w:pPr>
            <w:r>
              <w:rPr>
                <w:rFonts w:ascii="Arial" w:hAnsi="Arial" w:eastAsia="맑은 고딕" w:cs="Arial"/>
                <w:sz w:val="18"/>
                <w:szCs w:val="18"/>
                <w:color w:val="000000"/>
              </w:rPr>
              <w:t xml:space="preserve">수원대학교 데이터과학부 교수†</w:t>
            </w:r>
          </w:p>
        </w:tc>
      </w:tr>
      <w:tr w:rsidR="00485FE8">
        <w:trPr>
          <w:gridBefore w:val="1"/>
          <w:gridAfter w:val="1"/>
          <w:wBefore w:w="262" w:type="dxa"/>
          <w:wAfter w:w="236" w:type="dxa"/>
        </w:trPr>
        <w:tc>
          <w:tcPr>
            <w:tcW w:w="8460" w:type="dxa"/>
            <w:vAlign w:val="center"/>
          </w:tcPr>
          <w:p>
            <w:pPr>
              <w:pStyle w:val="Title"/>
              <w:widowControl/>
              <w:keepLines/>
              <w:snapToGrid w:val="0"/>
              <w:jc w:val="center"/>
              <w:spacing w:before="15" w:after="75" w:line="336" w:lineRule="atLeast"/>
            </w:pPr>
            <w:r>
              <w:rPr>
                <w:rFonts w:ascii="Arial" w:hAnsi="Arial" w:eastAsia="맑은 고딕" w:cs="Arial"/>
                <w:sz w:val="28"/>
                <w:szCs w:val="28"/>
                <w:color w:val="000000"/>
                <w:b/>
              </w:rPr>
              <w:t xml:space="preserve">EPF Neural Network for Metabolic Abnormality Classification and Lifestyle Analysis in Young Adults</w:t>
            </w:r>
          </w:p>
          <w:p>
            <w:pPr>
              <w:widowControl/>
              <w:snapToGrid w:val="0"/>
              <w:jc w:val="center"/>
              <w:spacing w:before="0" w:after="0" w:line="228" w:lineRule="atLeast"/>
            </w:pPr>
            <w:r>
              <w:rPr>
                <w:rFonts w:ascii="Arial" w:hAnsi="Arial" w:eastAsia="맑은 고딕" w:cs="Arial"/>
                <w:sz w:val="18"/>
                <w:szCs w:val="18"/>
                <w:color w:val="000000"/>
              </w:rPr>
              <w:t xml:space="preserve">Dongwook Kim*, Junseong Kim*, Hongryul Ahn†</w:t>
            </w:r>
          </w:p>
          <w:p>
            <w:pPr>
              <w:widowControl/>
              <w:snapToGrid w:val="0"/>
              <w:jc w:val="center"/>
              <w:spacing w:before="0" w:after="0" w:line="228" w:lineRule="atLeast"/>
            </w:pPr>
            <w:r>
              <w:rPr>
                <w:rFonts w:ascii="Arial" w:hAnsi="Arial" w:eastAsia="맑은 고딕" w:cs="Arial"/>
                <w:sz w:val="18"/>
                <w:szCs w:val="18"/>
                <w:color w:val="000000"/>
              </w:rPr>
              <w:t xml:space="preserve">Dept. of Data Science, The University of Suwon*</w:t>
            </w:r>
          </w:p>
          <w:p>
            <w:pPr>
              <w:widowControl/>
              <w:snapToGrid w:val="0"/>
              <w:jc w:val="center"/>
              <w:spacing w:before="0" w:after="0" w:line="228" w:lineRule="atLeast"/>
            </w:pPr>
            <w:r>
              <w:rPr>
                <w:rFonts w:ascii="Arial" w:hAnsi="Arial" w:eastAsia="맑은 고딕" w:cs="Arial"/>
                <w:sz w:val="18"/>
                <w:szCs w:val="18"/>
                <w:color w:val="000000"/>
              </w:rPr>
              <w:t xml:space="preserve">Professor, Dept. of Data Science, The University of Suwon†</w:t>
            </w:r>
          </w:p>
          <w:p>
            <w:pPr>
              <w:widowControl/>
              <w:snapToGrid w:val="0"/>
              <w:jc w:val="center"/>
              <w:spacing w:before="0" w:after="0" w:line="228" w:lineRule="atLeast"/>
            </w:pPr>
            <w:r>
              <w:rPr>
                <w:rFonts w:ascii="Arial" w:hAnsi="Arial" w:eastAsia="맑은 고딕" w:cs="Arial"/>
                <w:sz w:val="18"/>
                <w:szCs w:val="18"/>
                <w:color w:val="000000"/>
              </w:rPr>
              <w:t xml:space="preserve">kimk123654@naver.com*, junseong2im@gmail.com*, ahn@suwon.ac.kr† (교신저자)</w:t>
            </w:r>
          </w:p>
        </w:tc>
      </w:tr>
      <w:tr w:rsidR="00485FE8">
        <w:trPr>
          <w:gridBefore w:val="1"/>
          <w:gridAfter w:val="1"/>
          <w:wBefore w:w="262" w:type="dxa"/>
          <w:wAfter w:w="236" w:type="dxa"/>
        </w:trPr>
        <w:tc>
          <w:tcPr>
            <w:tcW w:w="8460" w:type="dxa"/>
            <w:vAlign w:val="center"/>
          </w:tcPr>
          <w:p>
            <w:pPr>
              <w:widowControl/>
              <w:snapToGrid w:val="0"/>
              <w:jc w:val="both"/>
              <w:spacing w:before="0" w:after="0" w:line="20" w:lineRule="exact"/>
            </w:pPr>
            <w:r>
              <w:rPr>
                <w:rFonts w:ascii="Arial" w:hAnsi="Arial" w:eastAsia="맑은 고딕" w:cs="Arial"/>
                <w:sz w:val="18"/>
                <w:szCs w:val="18"/>
                <w:color w:val="000000"/>
              </w:rPr>
              <w:t xml:space="preserve"/>
            </w:r>
          </w:p>
        </w:tc>
      </w:tr>
      <w:tr w:rsidR="00485FE8">
        <w:trPr/>
        <w:tc>
          <w:tcPr>
            <w:tcW w:w="8958" w:type="dxa"/>
            <w:gridSpan w:val="3"/>
            <w:vAlign w:val="center"/>
          </w:tcPr>
          <w:p>
            <w:pPr>
              <w:widowControl/>
              <w:keepNext/>
              <w:keepLines/>
              <w:snapToGrid w:val="0"/>
              <w:jc w:val="center"/>
              <w:spacing w:before="65" w:after="30" w:line="246" w:lineRule="atLeast"/>
            </w:pPr>
            <w:r>
              <w:rPr>
                <w:rFonts w:ascii="Arial" w:hAnsi="Arial" w:eastAsia="맑은 고딕" w:cs="Arial"/>
                <w:sz w:val="20"/>
                <w:szCs w:val="20"/>
                <w:color w:val="000000"/>
                <w:b/>
              </w:rPr>
              <w:t xml:space="preserve">요   약</w:t>
            </w:r>
          </w:p>
          <w:p>
            <w:pPr>
              <w:widowControl/>
              <w:snapToGrid w:val="0"/>
              <w:jc w:val="both"/>
              <w:spacing w:before="0" w:after="40" w:line="246" w:lineRule="exact"/>
            </w:pPr>
            <w:r>
              <w:rPr>
                <w:rFonts w:ascii="Arial" w:hAnsi="Arial" w:eastAsia="맑은 고딕" w:cs="Arial"/>
                <w:sz w:val="19"/>
                <w:szCs w:val="19"/>
                <w:color w:val="000000"/>
              </w:rPr>
              <w:t xml:space="preserve">본 연구는 국민건강영양조사 2020–2024년 청년 4,508명의 15개 비침습적 입력으로 다섯 대사소견군을 분류하는 EPF 신경망을 평가하였다. 복소 상태·사건 추적·가소성 갱신과 다섯 검사값의 공동분포 출력을 결합하고, 관측 검사값은 학습 정답으로만 사용하였다. 한 해를 시험용으로 남기고 나머지 네 해에서 설정 선택과 전체 재학습을 수행하는 검증을 다섯 번 반복하였다. EPF의 평균 시험연도 macro AP는 0.3571로 비교한 8개 조건 중 가장 높았으나 LightGBM 대비 차이 0.0055의 95% 구간은 [−0.0056, 0.0151]로 우수성이 확인되지는 않았다. EPF 자체의 시험 예측 969명에 대한 SHAP에서는 허리둘레·WHtR·연령의 기여가 높고 생활습관 관련 차이가 관찰되었다. 단독 혈압·혈당군의 결정 성능과 관찰자료의 한계를 함께 제시하며, 설명값을 예방 행동의 인과효과로 해석하지 않았다.</w:t>
            </w:r>
          </w:p>
        </w:tc>
      </w:tr>
    </w:tbl>
    <w:p w:rsidR="00485FE8" w:rsidRDefault="00485FE8">
      <w:pPr>
        <w:rPr>
          <w:rFonts w:hAnsi="바탕"/>
        </w:rPr>
        <w:sectPr w:rsidR="00485FE8">
          <w:pgSz w:w="11906" w:h="16838" w:code="9"/>
          <w:pgMar w:top="1701" w:right="567" w:bottom="1134" w:left="567" w:header="0" w:footer="0" w:gutter="0"/>
          <w:cols w:space="720"/>
          <w:docGrid w:type="lines" w:linePitch="360"/>
        </w:sectPr>
      </w:pPr>
    </w:p>
    <w:p>
      <w:pPr>
        <w:widowControl/>
        <w:keepNext/>
        <w:keepLines/>
        <w:snapToGrid w:val="0"/>
        <w:jc w:val="left"/>
        <w:spacing w:before="95" w:after="45" w:line="260" w:lineRule="atLeast"/>
      </w:pPr>
      <w:r>
        <w:rPr>
          <w:rFonts w:ascii="Arial" w:hAnsi="Arial" w:eastAsia="맑은 고딕" w:cs="Arial"/>
          <w:sz w:val="21"/>
          <w:szCs w:val="21"/>
          <w:color w:val="000000"/>
          <w:b/>
        </w:rPr>
        <w:t xml:space="preserve">1. 서론</w:t>
      </w:r>
    </w:p>
    <w:p>
      <w:pPr>
        <w:widowControl/>
        <w:snapToGrid w:val="0"/>
        <w:jc w:val="both"/>
        <w:spacing w:before="0" w:after="35" w:line="234" w:lineRule="exact"/>
        <w:ind w:firstLine="180"/>
      </w:pPr>
      <w:r>
        <w:rPr>
          <w:rFonts w:ascii="Arial" w:hAnsi="Arial" w:eastAsia="맑은 고딕" w:cs="Arial"/>
          <w:sz w:val="19"/>
          <w:szCs w:val="19"/>
          <w:color w:val="000000"/>
        </w:rPr>
        <w:t xml:space="preserve">청년층 대사이상을 비침습적 정보로 분류하려면 혈당·혈압·지질 소견이 단독으로 나타나는 경우와 함께 나타나는 경우를 구분해야 한다. 한 사람이 여러 소견을 보유할 수 있어 이상 유무만 분류하면 유형에 따른 차이가 가려지고, 학습 자료와 시험 자료가 같은 조사연도에 섞이면 연도 간 변화에 대한 성능도 확인하기 어렵다. 국민건강영양조사는 건강설문·검진·영양조사를 결합한 반복 횡단면 자료이므로 이러한 분류와 조사연도 간 검증을 함께 수행할 수 있다[1].</w:t>
      </w:r>
    </w:p>
    <w:p>
      <w:pPr>
        <w:widowControl/>
        <w:snapToGrid w:val="0"/>
        <w:jc w:val="both"/>
        <w:spacing w:before="0" w:after="35" w:line="234" w:lineRule="exact"/>
        <w:ind w:firstLine="180"/>
      </w:pPr>
      <w:r>
        <w:rPr>
          <w:rFonts w:ascii="Arial" w:hAnsi="Arial" w:eastAsia="맑은 고딕" w:cs="Arial"/>
          <w:sz w:val="19"/>
          <w:szCs w:val="19"/>
          <w:color w:val="000000"/>
        </w:rPr>
        <w:t xml:space="preserve">본 연구는 EPF(Event Plastic Field) 신경망을 중심으로 청년층 대사이상 유형을 분류하고, 그 예측에 기여하는 생활습관 정보를 분석한다. EPF는 복소 잠재 상태·사건 추적·가소성 상태를 내부 반복에서 갱신하며 검사값의 공동분포를 보정하도록 구성하였다. 기존 분류기와의 성능 비교에 더해 같은 공동분포 출력을 사용하는 신경망을 비교군으로 두었고, 다섯 조사연도를 하나씩 제외해 연도 간 일반화를 평가하였다. 설명 분석에는 EPF 자체의 시험 예측을 사용하였다.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2. 연구 방법</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2.1 대상자와 비침습적 입력</w:t>
      </w:r>
    </w:p>
    <w:p>
      <w:pPr>
        <w:widowControl/>
        <w:snapToGrid w:val="0"/>
        <w:jc w:val="both"/>
        <w:spacing w:before="0" w:after="35" w:line="234" w:lineRule="exact"/>
        <w:ind w:firstLine="180"/>
      </w:pPr>
      <w:r>
        <w:rPr>
          <w:rFonts w:ascii="Arial" w:hAnsi="Arial" w:eastAsia="맑은 고딕" w:cs="Arial"/>
          <w:sz w:val="19"/>
          <w:szCs w:val="19"/>
          <w:color w:val="000000"/>
        </w:rPr>
        <w:t xml:space="preserve">질병관리청 국민건강영양조사 2020–2024년 원시자료에서 20–39세를 대상으로 하였다. 고혈압·당뇨·이상지질혈증 진단과 관련 복약이 없다고 확인되고, 비임신 상태와 12시간 이상 공복, 다섯 검사값의 완전 관측 및 유효 조사설계 조건을 충족한 5,055명 중 영양조사 결합 가중치(wt_tot)가 양수인 4,508명을 포함하였다. 저녁 동반 식사 문항이 영양조사에 속하므로 참여 조건을 모든 모델에 동일하게 적용했다. 진단·복약 상태의 모름과 검사값 결측을 정상으로 코딩하지 않았다. 연도별 인원은 851·792·926·965·974명이었다.</w:t>
      </w:r>
    </w:p>
    <w:p>
      <w:pPr>
        <w:widowControl/>
        <w:snapToGrid w:val="0"/>
        <w:jc w:val="both"/>
        <w:spacing w:before="0" w:after="35" w:line="234" w:lineRule="exact"/>
        <w:ind w:firstLine="180"/>
      </w:pPr>
      <w:r>
        <w:rPr>
          <w:rFonts w:ascii="Arial" w:hAnsi="Arial" w:eastAsia="맑은 고딕" w:cs="Arial"/>
          <w:sz w:val="19"/>
          <w:szCs w:val="19"/>
          <w:color w:val="000000"/>
        </w:rPr>
        <w:t xml:space="preserve">예측 입력은 연령·성별·소득·교육, BMI·허리둘레·허리둘레/키 비율(WHtR), 현재흡연·월간음주·유산소 활동·1인가구 여부, 좌식시간·저녁 혼밥·최근 1년 체중 증가·취침 전 칫솔질 미실시의 15개다. 1인가구는 가구원 수 1명으로 정의하였다. 체중 증가는 BO1_1=3, 저녁 혼밥은 L_DN_TO=2로 코딩하고 비해당 응답은 별도 범주로 보존했다. 수치형의 조사 가중 평균·표준편차와 범주형 인코딩은 각 학습 부분에서 적합했으며 결측 지시자를 포함해 45열로 변환하였다. 식별자·조사연도·검사값·진단·복약 문항은 예측 입력에 넣지 않았다.</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2.2 목표변수</w:t>
      </w:r>
    </w:p>
    <w:p>
      <w:pPr>
        <w:widowControl/>
        <w:snapToGrid w:val="0"/>
        <w:jc w:val="both"/>
        <w:spacing w:before="0" w:after="35" w:line="234" w:lineRule="exact"/>
        <w:ind w:firstLine="180"/>
      </w:pPr>
      <w:r>
        <w:rPr>
          <w:rFonts w:ascii="Arial" w:hAnsi="Arial" w:eastAsia="맑은 고딕" w:cs="Arial"/>
          <w:sz w:val="19"/>
          <w:szCs w:val="19"/>
          <w:color w:val="000000"/>
        </w:rPr>
        <w:t xml:space="preserve">혈당≥100 mg/dL, 수축기 혈압≥130 mmHg 또는 이완기 혈압≥85 mmHg, TG≥150 mg/dL, HDL&lt;40 mg/dL(남성) 또는 &lt;50 mg/dL(여성)을 네 양성 소견으로 정의하였다[2]. TG와 저HDL을 하나의 지질 영역으로 묶고 혈당·혈압·지질의 세 영역 수에 따라 표 1의 배타적 다섯 군을 구성하였다. TG와 저HDL만 함께 이상인 경우는 지질 단독이다. 이 라벨은 측정 당시 검사 소견의 유형이며 질환 확진이나 미래 발병을 뜻하지 않는다.</w:t>
      </w:r>
    </w:p>
    <w:p>
      <w:pPr>
        <w:widowControl/>
        <w:snapToGrid w:val="0"/>
        <w:jc w:val="center"/>
        <w:spacing w:before="0" w:after="35" w:line="234" w:lineRule="exact"/>
        <w:ind w:firstLine="180"/>
      </w:pPr>
      <w:r>
        <w:rPr>
          <w:rFonts w:ascii="Arial" w:hAnsi="Arial" w:eastAsia="맑은 고딕" w:cs="Arial"/>
          <w:sz w:val="19"/>
          <w:szCs w:val="19"/>
          <w:color w:val="000000"/>
        </w:rPr>
        <w:t xml:space="preserve">(표1)</w:t>
      </w:r>
    </w:p>
    <w:p>
      <w:pPr>
        <w:widowControl/>
        <w:snapToGrid w:val="0"/>
        <w:jc w:val="center"/>
        <w:spacing w:before="0" w:after="35" w:line="234" w:lineRule="exact"/>
        <w:ind w:firstLine="180"/>
      </w:pPr>
      <w:r>
        <w:rPr>
          <w:rFonts w:ascii="Arial" w:hAnsi="Arial" w:eastAsia="맑은 고딕" w:cs="Arial"/>
          <w:sz w:val="19"/>
          <w:szCs w:val="19"/>
          <w:color w:val="000000"/>
        </w:rPr>
        <w:t xml:space="preserve">(그림1)</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2.3 EPF 구조와 검사값 학습 정답</w:t>
      </w:r>
    </w:p>
    <w:p>
      <w:pPr>
        <w:widowControl/>
        <w:snapToGrid w:val="0"/>
        <w:jc w:val="both"/>
        <w:spacing w:before="0" w:after="35" w:line="234" w:lineRule="exact"/>
        <w:ind w:firstLine="180"/>
      </w:pPr>
      <w:r>
        <w:rPr>
          <w:rFonts w:ascii="Arial" w:hAnsi="Arial" w:eastAsia="맑은 고딕" w:cs="Arial"/>
          <w:sz w:val="19"/>
          <w:szCs w:val="19"/>
          <w:color w:val="000000"/>
        </w:rPr>
        <w:t xml:space="preserve">EPF의 입력 X는 위의 15개 비침습적 변수이며, 관측 혈당·혈압·TG·HDL은 입력이 아닌 학습 정답 Y로만 사용한다. 학습 정답은 log 혈당, log 이완기 혈압, log(수축기−이완기 혈압), log TG, log HDL의 다섯 연속값이다. 수축기 혈압은 이완기 혈압과 두 혈압의 차이로 표현하므로 하나의 불명확한 “log 혈압”으로 묶지 않았다. 로그 변환과 표준화의 통계도 학습 자료에서 구하였다.</w:t>
      </w:r>
    </w:p>
    <w:p>
      <w:pPr>
        <w:widowControl/>
        <w:snapToGrid w:val="0"/>
        <w:jc w:val="both"/>
        <w:spacing w:before="0" w:after="35" w:line="234" w:lineRule="exact"/>
        <w:ind w:firstLine="180"/>
      </w:pPr>
      <w:r>
        <w:rPr>
          <w:rFonts w:ascii="Arial" w:hAnsi="Arial" w:eastAsia="맑은 고딕" w:cs="Arial"/>
          <w:sz w:val="19"/>
          <w:szCs w:val="19"/>
          <w:color w:val="000000"/>
        </w:rPr>
        <w:t xml:space="preserve">EPF는 45열 입력을 12차원 복소 상태 z로 투영하고, 사건 추적 r 및 반대칭 가소성 행렬 P와 함께 네 번 갱신한다. 상태 전파와 입력 구동 뒤의 크기 제곱은 사건 발생과 상태 재설정에 사용되며, 사건과 추적 상태의 순서 차이가 P 갱신에 반영된다. 이 계산은 한 사람의 입력을 처리하는 내부 반복으로, 사람을 시간에 따라 추적하거나 생리 상태를 직접 측정하는 과정은 아니다.</w:t>
      </w:r>
    </w:p>
    <w:p>
      <w:pPr>
        <w:widowControl/>
        <w:snapToGrid w:val="0"/>
        <w:jc w:val="both"/>
        <w:spacing w:before="0" w:after="35" w:line="234" w:lineRule="exact"/>
        <w:ind w:firstLine="180"/>
      </w:pPr>
      <w:r>
        <w:rPr>
          <w:rFonts w:ascii="Arial" w:hAnsi="Arial" w:eastAsia="맑은 고딕" w:cs="Arial"/>
          <w:sz w:val="19"/>
          <w:szCs w:val="19"/>
          <w:color w:val="000000"/>
        </w:rPr>
        <w:t xml:space="preserve">상태의 실수·허수·크기·추적·에너지 요약은 평균 보정에 연결하고, P의 네 투영값은 공동분포의 rank-one 적재량에 연결하였다. 연령·체형·성별 맥락은 대각 분산 보정에 사용한다. 평균은 학습 자료의 Ridge 앵커와 신경망 보정량의 합으로, 공분산은 양의 대각 성분과 rank-one 성분의 합으로 구성하였다. 추론에서는 비침습 입력만으로 다섯 검사값의 조건부 분포를 예측하고, 절단값을 적용한 네 소견의 16조합 확률을 적분한 뒤 다섯 군 확률로 합산한다(그림 2).</w:t>
      </w:r>
    </w:p>
    <w:p>
      <w:pPr>
        <w:widowControl/>
        <w:snapToGrid w:val="0"/>
        <w:jc w:val="both"/>
        <w:spacing w:before="0" w:after="35" w:line="234" w:lineRule="exact"/>
        <w:ind w:firstLine="180"/>
      </w:pPr>
      <w:r>
        <w:rPr>
          <w:rFonts w:ascii="Arial" w:hAnsi="Arial" w:eastAsia="맑은 고딕" w:cs="Arial"/>
          <w:sz w:val="19"/>
          <w:szCs w:val="19"/>
          <w:color w:val="000000"/>
        </w:rPr>
        <w:t xml:space="preserve">공동분포 신경망은 조사 가중 가우시안 음의 로그우도(NLL)에 공분산 보정 페널티를 더해 학습했고, 직접 MLP는 가중 교차엔트로피를 사용하였다. EPF·MLP의 선형 skip 경로에는 AdamW 학습률의 0.1배를 적용하였다. 내부 검증의 교차엔트로피 또는 NLL로 epoch를 선택하고, 후보 설정끼리는 검증 macro AP로 비교하였다. 네 개발연도 전체의 재학습에는 선택된 epoch와 학습률 경로를 적용하였다.</w:t>
      </w:r>
    </w:p>
    <w:p>
      <w:pPr>
        <w:widowControl/>
        <w:snapToGrid w:val="0"/>
        <w:jc w:val="center"/>
        <w:spacing w:before="0" w:after="35" w:line="234" w:lineRule="exact"/>
        <w:ind w:firstLine="180"/>
      </w:pPr>
      <w:r>
        <w:rPr>
          <w:rFonts w:ascii="Arial" w:hAnsi="Arial" w:eastAsia="맑은 고딕" w:cs="Arial"/>
          <w:sz w:val="19"/>
          <w:szCs w:val="19"/>
          <w:color w:val="000000"/>
        </w:rPr>
        <w:t xml:space="preserve">(그림2)</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2.4 비교 모델과 연도 단위 평가</w:t>
      </w:r>
    </w:p>
    <w:p>
      <w:pPr>
        <w:widowControl/>
        <w:snapToGrid w:val="0"/>
        <w:jc w:val="both"/>
        <w:spacing w:before="0" w:after="35" w:line="234" w:lineRule="exact"/>
        <w:ind w:firstLine="180"/>
      </w:pPr>
      <w:r>
        <w:rPr>
          <w:rFonts w:ascii="Arial" w:hAnsi="Arial" w:eastAsia="맑은 고딕" w:cs="Arial"/>
          <w:sz w:val="19"/>
          <w:szCs w:val="19"/>
          <w:color w:val="000000"/>
        </w:rPr>
        <w:t xml:space="preserve">비교군은 다항 로지스틱 회귀(LR), 랜덤 포레스트(RF)[3], XGBoost(XGB)[4], LightGBM(LGBM)[5], 직접 MLP, 공동분포 MLP(jMLP), 공동분포 선형 평균 모델(jLinear)이다. j는 공동분포 출력을 뜻하며 EPF 구조의 이름과 구분하였다. 직접 분류기는 다섯 군 라벨을, 공동분포군은 다섯 연속 검사값을 학습하므로 직접 분류기와의 차이를 구조만의 효과로 해석하지 않는다.</w:t>
      </w:r>
    </w:p>
    <w:p>
      <w:pPr>
        <w:widowControl/>
        <w:snapToGrid w:val="0"/>
        <w:jc w:val="both"/>
        <w:spacing w:before="0" w:after="35" w:line="234" w:lineRule="exact"/>
        <w:ind w:firstLine="180"/>
      </w:pPr>
      <w:r>
        <w:rPr>
          <w:rFonts w:ascii="Arial" w:hAnsi="Arial" w:eastAsia="맑은 고딕" w:cs="Arial"/>
          <w:sz w:val="19"/>
          <w:szCs w:val="19"/>
          <w:color w:val="000000"/>
        </w:rPr>
        <w:t xml:space="preserve">2020–2024년 중 한 해씩을 시험용으로 제외해 다섯 회 평가했다. 나머지 네 해 안에서 조사구(PSU) 기준 80% 학습·20% 검증으로 설정을 선택했으며, 이후 네 해 전체로 전처리·앵커와 모델을 다시 적합했다. 모든 모델에 같은 대상자·분할·입력을 적용하고 모델별 후보 8개를 seed42에서 검증 macro AP로 선택하였다. 최종 예측은 LR의 결정론적 적합 또는 seed42–44 확률 평균이다. 재학습 시 나무 수나 신경망 학습 epoch 및 학습률 경로를 내부 검증 결과로 고정하고 시험 자료를 선택에 사용하지 않았다.</w:t>
      </w:r>
    </w:p>
    <w:p>
      <w:pPr>
        <w:widowControl/>
        <w:snapToGrid w:val="0"/>
        <w:jc w:val="both"/>
        <w:spacing w:before="0" w:after="35" w:line="234" w:lineRule="exact"/>
        <w:ind w:firstLine="180"/>
      </w:pPr>
      <w:r>
        <w:rPr>
          <w:rFonts w:ascii="Arial" w:hAnsi="Arial" w:eastAsia="맑은 고딕" w:cs="Arial"/>
          <w:sz w:val="19"/>
          <w:szCs w:val="19"/>
          <w:color w:val="000000"/>
        </w:rPr>
        <w:t xml:space="preserve">주 지표는 각 시험연도에서 다섯 군을 각각 나머지와 구분하는 조사 가중 average precision(AP)을 평균한 뒤, 다섯 시험연도 점수를 산술평균한 값이다[6]. 전체 OOF 예측을 합친 AP, AUROC·F1·NLL·Brier를 보조 지표로 구했다. 조사 가중치 wt_tot을 적용하고, 연도·층 안에서 전체 조사 PSU를 Rao–Wu 방식으로 2,000회 재표집하였다[7]. 구간은 적합된 모델을 고정한 조건부 구간이며 재학습 불확실성을 포함하지 않는다. 주대조는 EPF−LGBM으로 두고 다른 대비는 보조 분석으로 구분했다.</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2.5 EPF 기반 SHAP 설명</w:t>
      </w:r>
    </w:p>
    <w:p>
      <w:pPr>
        <w:widowControl/>
        <w:snapToGrid w:val="0"/>
        <w:jc w:val="both"/>
        <w:spacing w:before="0" w:after="35" w:line="234" w:lineRule="exact"/>
        <w:ind w:firstLine="180"/>
      </w:pPr>
      <w:r>
        <w:rPr>
          <w:rFonts w:ascii="Arial" w:hAnsi="Arial" w:eastAsia="맑은 고딕" w:cs="Arial"/>
          <w:sz w:val="19"/>
          <w:szCs w:val="19"/>
          <w:color w:val="000000"/>
        </w:rPr>
        <w:t xml:space="preserve">최종 EPF 앙상블의 다섯 군 확률에 대해 15개 원입력을 순열 기반 SHAP으로 설명하였다[8]. 각 시험연도에서 군별 최대 40명을 무작위 선택한 총 969명에 32쌍의 순·역방향 경로를 적용했고, 배경 표본은 해당 회차의 네 학습연도에서 조사 가중치에 비례해 추출했다. 군별 선택확률의 역수와 조사 가중치를 결합해 중요도를 집계하였다. 경로의 합산 일치와 적분 예측의 기준 계산 일치를 점검했으며, SHAP 패키지의 같은 EPF 함수 설명도 확인하였다. 원입력을 대체한 뒤 인코딩과 신경망·분포 적분을 모두 수행하므로 LightGBM 대리모델의 설명값을 사용하지 않았다.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3. 실험 결과</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3.1 연도별 분류 성능</w:t>
      </w:r>
    </w:p>
    <w:p>
      <w:pPr>
        <w:widowControl/>
        <w:snapToGrid w:val="0"/>
        <w:jc w:val="both"/>
        <w:spacing w:before="0" w:after="35" w:line="234" w:lineRule="exact"/>
        <w:ind w:firstLine="180"/>
      </w:pPr>
      <w:r>
        <w:rPr>
          <w:rFonts w:ascii="Arial" w:hAnsi="Arial" w:eastAsia="맑은 고딕" w:cs="Arial"/>
          <w:sz w:val="19"/>
          <w:szCs w:val="19"/>
          <w:color w:val="000000"/>
        </w:rPr>
        <w:t xml:space="preserve">EPF의 평균 시험연도 macro AP는 0.3571로 8개 조건 중 가장 높았고, XGB 0.3544, LGBM 0.3516가 뒤를 이었다(표 2). EPF−LGBM의 차이는 0.0055였으나 95% 구간 [-0.0056, +0.0151]이 0을 포함하였다. EPF는 LGBM보다 3개 시험연도에서 높았으며, 2022·2023년에는 낮았다. 평균 점추정이 가장 높다는 관찰과 일관된 우수성이 확인됐다는 결론은 구분해야 한다(그림 3).</w:t>
      </w:r>
    </w:p>
    <w:p>
      <w:pPr>
        <w:widowControl/>
        <w:snapToGrid w:val="0"/>
        <w:jc w:val="center"/>
        <w:spacing w:before="0" w:after="35" w:line="234" w:lineRule="exact"/>
        <w:ind w:firstLine="180"/>
      </w:pPr>
      <w:r>
        <w:rPr>
          <w:rFonts w:ascii="Arial" w:hAnsi="Arial" w:eastAsia="맑은 고딕" w:cs="Arial"/>
          <w:sz w:val="19"/>
          <w:szCs w:val="19"/>
          <w:color w:val="000000"/>
        </w:rPr>
        <w:t xml:space="preserve">(표2)</w:t>
      </w:r>
    </w:p>
    <w:p>
      <w:pPr>
        <w:widowControl/>
        <w:snapToGrid w:val="0"/>
        <w:jc w:val="center"/>
        <w:spacing w:before="0" w:after="35" w:line="234" w:lineRule="exact"/>
        <w:ind w:firstLine="180"/>
      </w:pPr>
      <w:r>
        <w:rPr>
          <w:rFonts w:ascii="Arial" w:hAnsi="Arial" w:eastAsia="맑은 고딕" w:cs="Arial"/>
          <w:sz w:val="19"/>
          <w:szCs w:val="19"/>
          <w:color w:val="000000"/>
        </w:rPr>
        <w:t xml:space="preserve">(그림3)</w:t>
      </w:r>
    </w:p>
    <w:p>
      <w:pPr>
        <w:widowControl/>
        <w:snapToGrid w:val="0"/>
        <w:jc w:val="both"/>
        <w:spacing w:before="0" w:after="35" w:line="234" w:lineRule="exact"/>
        <w:ind w:firstLine="180"/>
      </w:pPr>
      <w:r>
        <w:rPr>
          <w:rFonts w:ascii="Arial" w:hAnsi="Arial" w:eastAsia="맑은 고딕" w:cs="Arial"/>
          <w:sz w:val="19"/>
          <w:szCs w:val="19"/>
          <w:color w:val="000000"/>
        </w:rPr>
        <w:t xml:space="preserve">같은 공동분포 출력의 jMLP 대비 EPF 차이는 0.0055, 미보정 95% 구간은 [+0.0002, +0.0104]였고 5개 해 중 4개에서 높았다. 다만 이는 보조 대비이며 다중 비교와 학습 seed 변동을 고려한 구조적 우위의 확증으로 제시하지 않는다. EPF의 단일 seed 평균 연도 AP 범위는 0.3525–0.3575였다. 연도별 AP 평균과 전체 OOF AP는 계산 대상이 다르므로 서로 바꾸어 인용하지 않았다.</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3.2 아형별 분류와 결정의 한계</w:t>
      </w:r>
    </w:p>
    <w:p>
      <w:pPr>
        <w:widowControl/>
        <w:snapToGrid w:val="0"/>
        <w:jc w:val="both"/>
        <w:spacing w:before="0" w:after="35" w:line="234" w:lineRule="exact"/>
        <w:ind w:firstLine="180"/>
      </w:pPr>
      <w:r>
        <w:rPr>
          <w:rFonts w:ascii="Arial" w:hAnsi="Arial" w:eastAsia="맑은 고딕" w:cs="Arial"/>
          <w:sz w:val="19"/>
          <w:szCs w:val="19"/>
          <w:color w:val="000000"/>
        </w:rPr>
        <w:t xml:space="preserve">EPF 전체 OOF의 군별 AP는 정상 0.8421, 혈압 단독 0.0726, 혈당 단독 0.1040, 지질 단독 0.3129, 복합 0.4087였다. 최대 확률의 한 군을 선택한 조사 가중 혼동행렬에서 정상과 복합군의 재현율은 각각 92.4%, 53.6%였지만 혈압·혈당 단독군은 0%, 지질 단독군은 9.9%였다(그림 4). AP는 순위 성능을 측정하며 이 결정 규칙의 민감도와 같지 않다. 따라서 현재 결과로 단독 소견을 임상적으로 조기 선별할 수 있다고 주장하지 않는다.</w:t>
      </w:r>
    </w:p>
    <w:p>
      <w:pPr>
        <w:widowControl/>
        <w:snapToGrid w:val="0"/>
        <w:jc w:val="center"/>
        <w:spacing w:before="0" w:after="35" w:line="234" w:lineRule="exact"/>
        <w:ind w:firstLine="180"/>
      </w:pPr>
      <w:r>
        <w:rPr>
          <w:rFonts w:ascii="Arial" w:hAnsi="Arial" w:eastAsia="맑은 고딕" w:cs="Arial"/>
          <w:sz w:val="19"/>
          <w:szCs w:val="19"/>
          <w:color w:val="000000"/>
        </w:rPr>
        <w:t xml:space="preserve">(그림4)</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3.3 EPF가 활용한 생활습관 정보</w:t>
      </w:r>
    </w:p>
    <w:p>
      <w:pPr>
        <w:widowControl/>
        <w:snapToGrid w:val="0"/>
        <w:jc w:val="both"/>
        <w:spacing w:before="0" w:after="35" w:line="234" w:lineRule="exact"/>
        <w:ind w:firstLine="180"/>
      </w:pPr>
      <w:r>
        <w:rPr>
          <w:rFonts w:ascii="Arial" w:hAnsi="Arial" w:eastAsia="맑은 고딕" w:cs="Arial"/>
          <w:sz w:val="19"/>
          <w:szCs w:val="19"/>
          <w:color w:val="000000"/>
        </w:rPr>
        <w:t xml:space="preserve">EPF의 평균 절대 SHAP은 허리둘레 0.0401, WHtR 0.0342, 연령 0.0242, BMI 0.0171, 성별 0.0166 순이었다. 생활습관에서는 월간음주 0.0118과 현재흡연 0.0094가 높았다(그림 5). 신체계측 변수의 상관으로 기여가 분산될 수 있고, 성별은 HDL 절단값의 차이에도 관여하므로 이 순위를 독립적인 생물학적 영향의 크기로 해석하지 않았다.</w:t>
      </w:r>
    </w:p>
    <w:p>
      <w:pPr>
        <w:widowControl/>
        <w:snapToGrid w:val="0"/>
        <w:jc w:val="center"/>
        <w:spacing w:before="0" w:after="35" w:line="234" w:lineRule="exact"/>
        <w:ind w:firstLine="180"/>
      </w:pPr>
      <w:r>
        <w:rPr>
          <w:rFonts w:ascii="Arial" w:hAnsi="Arial" w:eastAsia="맑은 고딕" w:cs="Arial"/>
          <w:sz w:val="19"/>
          <w:szCs w:val="19"/>
          <w:color w:val="000000"/>
        </w:rPr>
        <w:t xml:space="preserve">(그림5)</w:t>
      </w:r>
    </w:p>
    <w:p>
      <w:pPr>
        <w:widowControl/>
        <w:snapToGrid w:val="0"/>
        <w:jc w:val="both"/>
        <w:spacing w:before="0" w:after="35" w:line="234" w:lineRule="exact"/>
        <w:ind w:firstLine="180"/>
      </w:pPr>
      <w:r>
        <w:rPr>
          <w:rFonts w:ascii="Arial" w:hAnsi="Arial" w:eastAsia="맑은 고딕" w:cs="Arial"/>
          <w:sz w:val="19"/>
          <w:szCs w:val="19"/>
          <w:color w:val="000000"/>
        </w:rPr>
        <w:t xml:space="preserve">현재흡연과 좌식시간은 지질 단독·복합군, 체중 증가는 복합군 확률에 양의 기여 차이를 보였고 이러한 방향은 다섯 해에서 유지되었다. 그러나 배타적 아형에서는 한 군의 확률 감소가 다른 군으로의 이동을 반영할 수 있다. 이 부호를 전체 검사 위험 감소로 바꾸어 읽지 않도록 동일 EPF의 네 원래 소견 확률에 대한 SHAP을 보조적으로 확인하였다. 이 보조 분석은 아형 부호를 확인한 뒤 추가한 해석 점검이며 주 성능 비교를 바꾸지 않았다. 중요도와 방향의 재현은 생활습관 관련 후보를 제시하지만, 해당 행동을 바꾸었을 때 건강 결과가 개선된다는 인과효과를 뜻하지 않는다.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4. 논의 및 결론</w:t>
      </w:r>
    </w:p>
    <w:p>
      <w:pPr>
        <w:widowControl/>
        <w:snapToGrid w:val="0"/>
        <w:jc w:val="both"/>
        <w:spacing w:before="0" w:after="35" w:line="234" w:lineRule="exact"/>
        <w:ind w:firstLine="180"/>
      </w:pPr>
      <w:r>
        <w:rPr>
          <w:rFonts w:ascii="Arial" w:hAnsi="Arial" w:eastAsia="맑은 고딕" w:cs="Arial"/>
          <w:sz w:val="19"/>
          <w:szCs w:val="19"/>
          <w:color w:val="000000"/>
        </w:rPr>
        <w:t xml:space="preserve">본 연구는 EPF의 상태·사건·가소성 갱신과 공동분포 출력을 비침습적 청년층 대사이상 분류에 적용하고, 한 해씩 제외한 다섯 회 검증과 EPF 자체의 SHAP 분석을 연결하였다. 평균 연도 AP의 점추정은 비교군 중 가장 높았고 같은 공동분포 MLP보다 높은 보조 결과가 관찰되었다. 그러나 LGBM과의 주대조 구간이 0을 포함하고 일부 시험연도 및 단독 아형에서 한계가 남아, 기존 모델 전반에 대한 우월성을 확정하지는 못했다.</w:t>
      </w:r>
    </w:p>
    <w:p>
      <w:pPr>
        <w:widowControl/>
        <w:snapToGrid w:val="0"/>
        <w:jc w:val="both"/>
        <w:spacing w:before="0" w:after="35" w:line="234" w:lineRule="exact"/>
        <w:ind w:firstLine="180"/>
      </w:pPr>
      <w:r>
        <w:rPr>
          <w:rFonts w:ascii="Arial" w:hAnsi="Arial" w:eastAsia="맑은 고딕" w:cs="Arial"/>
          <w:sz w:val="19"/>
          <w:szCs w:val="19"/>
          <w:color w:val="000000"/>
        </w:rPr>
        <w:t xml:space="preserve">분석은 진단·공복·검사 완전성 및 영양조사 참여 조건을 만족한 표본에 제한된다. 2021년 혈압계와 2022년 검사기관·분석법 변경에 대한 별도 전환식 민감도 분석을 수행하지 않았으며, 이미 분석한 KNHANES의 연도 제외 검증을 독립적인 외부 검증으로 부르지 않았다. 다섯 회 중 과거를 학습해 이후 연도를 평가하는 조건은 2024년 시험이다. 횡단면 자료와 SHAP만으로 질환 원인이나 예방 효과를 확인할 수 없고, 실제 자가계측 오차와 임상 절단값도 별도 검증이 필요하다. EPF를 후속 검증할 모델로 제시하면서 생활습관 관련 후보의 재현성을 확인하는 범위에서 결과를 해석한다.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참고문헌</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[1] S. Kweon et al., “Data Resource Profile: The Korea National Health and Nutrition Examination Survey (KNHANES),” International Journal of Epidemiology, vol. 43, no. 1, pp. 69–77, 2014. doi:10.1093/ije/dyt228.</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[2] S. M. Grundy et al., “Diagnosis and management of the metabolic syndrome: an American Heart Association/National Heart, Lung, and Blood Institute Scientific Statement,” Circulation, vol. 112, no. 17, pp. 2735–2752, 2005. doi:10.1161/CIRCULATIONAHA.105.169404.</w:t>
      </w:r>
    </w:p>
    <w:p>
      <w:pPr>
        <w:widowControl/>
        <w:snapToGrid w:val="0"/>
        <w:jc w:val="both"/>
        <w:spacing w:before="0" w:after="0" w:line="20" w:lineRule="exact"/>
      </w:pPr>
      <w:r>
        <w:rPr>
          <w:rFonts w:ascii="Arial" w:hAnsi="Arial" w:eastAsia="맑은 고딕" w:cs="Arial"/>
          <w:sz w:val="19"/>
          <w:szCs w:val="19"/>
          <w:color w:val="000000"/>
        </w:rPr>
        <w:t xml:space="preserve"/>
      </w:r>
      <w:r>
        <w:br w:type="column"/>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[3] L. Breiman, “Random Forests,” Machine Learning, vol. 45, no. 1, pp. 5–32, 2001. doi:10.1023/A:1010933404324.</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[4] T. Chen and C. Guestrin, “XGBoost: A Scalable Tree Boosting System,” in Proc. ACM SIGKDD, pp. 785–794, 2016. doi:10.1145/2939672.2939785.</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[5] G. Ke et al., “LightGBM: A Highly Efficient Gradient Boosting Decision Tree,” in Advances in Neural Information Processing Systems, vol. 30, pp. 3146–3154, 2017.</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[6] T. Saito and M. Rehmsmeier, “The Precision-Recall Plot Is More Informative than the ROC Plot When Evaluating Binary Classifiers on Imbalanced Datasets,” PLOS ONE, vol. 10, no. 3, e0118432, 2015. doi:10.1371/journal.pone.0118432.</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[7] J. N. K. Rao and C. F. J. Wu, “Resampling Inference with Complex Survey Data,” Journal of the American Statistical Association, vol. 83, no. 401, pp. 231–241, 1988. doi:10.1080/01621459.1988.10478591.</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[8] S. M. Lundberg and S.-I. Lee, “A Unified Approach to Interpreting Model Predictions,” in Advances in Neural Information Processing Systems, vol. 30, pp. 4765–4774, 2017.</w:t>
      </w:r>
    </w:p>
    <w:p>
      <w:pPr>
        <w:widowControl/>
        <w:keepNext/>
        <w:keepLines/>
        <w:snapToGrid w:val="0"/>
        <w:jc w:val="center"/>
        <w:spacing w:before="30" w:after="10" w:line="240" w:lineRule="atLeast"/>
        <w:pageBreakBefore/>
      </w:pPr>
      <w:r>
        <w:rPr>
          <w:rFonts w:ascii="Arial" w:hAnsi="Arial" w:eastAsia="맑은 고딕" w:cs="Arial"/>
          <w:sz w:val="19"/>
          <w:szCs w:val="19"/>
          <w:color w:val="000000"/>
        </w:rPr>
        <w:t xml:space="preserve"/>
      </w:r>
      <w:r>
        <w:drawing>
          <wp:inline distT="0" distB="0" distL="0" distR="0">
            <wp:extent cx="3175200" cy="2229009"/>
            <wp:effectExtent l="0" t="0" r="0" b="0"/>
            <wp:docPr id="1" name="figure1" descr="대상자 선정과 연도 제외 검증"/>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ure1.png"/>
                    <ns4:cNvPicPr/>
                  </ns4:nvPicPr>
                  <ns4:blipFill>
                    <ns3:blip r:embed="rIdEPFPaperImage1"/>
                    <ns3:stretch>
                      <ns3:fillRect/>
                    </ns3:stretch>
                  </ns4:blipFill>
                  <ns4:spPr>
                    <ns3:xfrm>
                      <ns3:off x="0" y="0"/>
                      <ns3:ext cx="3175200" cy="2229009"/>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1. 대상자 선정과 연도 제외 검증의 흐름. 한 해 전체를 시험용으로 남기고 나머지 네 해에서 학습·설정 선택·재학습을 수행하였다.</w:t>
      </w:r>
    </w:p>
    <w:p>
      <w:pPr>
        <w:widowControl/>
        <w:keepNext/>
        <w:keepLines/>
        <w:snapToGrid w:val="0"/>
        <w:jc w:val="center"/>
        <w:spacing w:before="30" w:after="10" w:line="240" w:lineRule="atLeast"/>
      </w:pPr>
      <w:r>
        <w:rPr>
          <w:rFonts w:ascii="Arial" w:hAnsi="Arial" w:eastAsia="맑은 고딕" w:cs="Arial"/>
          <w:sz w:val="19"/>
          <w:szCs w:val="19"/>
          <w:color w:val="000000"/>
        </w:rPr>
        <w:t xml:space="preserve"/>
      </w:r>
      <w:r>
        <w:drawing>
          <wp:inline distT="0" distB="0" distL="0" distR="0">
            <wp:extent cx="3175200" cy="2956848"/>
            <wp:effectExtent l="0" t="0" r="0" b="0"/>
            <wp:docPr id="2" name="figure2" descr="EPF 구조와 입력 및 정답의 분리"/>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ure2.png"/>
                    <ns4:cNvPicPr/>
                  </ns4:nvPicPr>
                  <ns4:blipFill>
                    <ns3:blip r:embed="rIdEPFPaperImage2"/>
                    <ns3:stretch>
                      <ns3:fillRect/>
                    </ns3:stretch>
                  </ns4:blipFill>
                  <ns4:spPr>
                    <ns3:xfrm>
                      <ns3:off x="0" y="0"/>
                      <ns3:ext cx="3175200" cy="2956848"/>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2. EPF의 입력·내부 상태·공동분포 출력. 관측 검사값은 학습 정답 경로에만 사용하며 예측 시 입력하지 않는다.</w:t>
      </w:r>
    </w:p>
    <w:p>
      <w:pPr>
        <w:widowControl/>
        <w:snapToGrid w:val="0"/>
        <w:jc w:val="both"/>
        <w:spacing w:before="0" w:after="0" w:line="20" w:lineRule="exact"/>
      </w:pPr>
      <w:r>
        <w:rPr>
          <w:rFonts w:ascii="Arial" w:hAnsi="Arial" w:eastAsia="맑은 고딕" w:cs="Arial"/>
          <w:sz w:val="19"/>
          <w:szCs w:val="19"/>
          <w:color w:val="000000"/>
        </w:rPr>
        <w:t xml:space="preserve"/>
      </w:r>
      <w:r>
        <w:br w:type="column"/>
      </w:r>
    </w:p>
    <w:p>
      <w:pPr>
        <w:widowControl/>
        <w:keepNext/>
        <w:keepLines/>
        <w:snapToGrid w:val="0"/>
        <w:jc w:val="center"/>
        <w:spacing w:before="30" w:after="10" w:line="240" w:lineRule="atLeast"/>
      </w:pPr>
      <w:r>
        <w:rPr>
          <w:rFonts w:ascii="Arial" w:hAnsi="Arial" w:eastAsia="맑은 고딕" w:cs="Arial"/>
          <w:sz w:val="19"/>
          <w:szCs w:val="19"/>
          <w:color w:val="000000"/>
        </w:rPr>
        <w:t xml:space="preserve"/>
      </w:r>
      <w:r>
        <w:drawing>
          <wp:inline distT="0" distB="0" distL="0" distR="0">
            <wp:extent cx="3175200" cy="3502728"/>
            <wp:effectExtent l="0" t="0" r="0" b="0"/>
            <wp:docPr id="3" name="figure3" descr="연도별 모델 성능과 조건부 구간"/>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ure3.png"/>
                    <ns4:cNvPicPr/>
                  </ns4:nvPicPr>
                  <ns4:blipFill>
                    <ns3:blip r:embed="rIdEPFPaperImage3"/>
                    <ns3:stretch>
                      <ns3:fillRect/>
                    </ns3:stretch>
                  </ns4:blipFill>
                  <ns4:spPr>
                    <ns3:xfrm>
                      <ns3:off x="0" y="0"/>
                      <ns3:ext cx="3175200" cy="3502728"/>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3. 모델별 평균 시험연도 AP와 95% 조건부 구간(위), 시험연도별 AP(아래). 흐린 선은 나머지 비교 모델이다.</w:t>
      </w:r>
    </w:p>
    <w:p>
      <w:pPr>
        <w:widowControl/>
        <w:keepNext/>
        <w:keepLines/>
        <w:snapToGrid w:val="0"/>
        <w:jc w:val="center"/>
        <w:spacing w:before="30" w:after="10" w:line="240" w:lineRule="atLeast"/>
      </w:pPr>
      <w:r>
        <w:rPr>
          <w:rFonts w:ascii="Arial" w:hAnsi="Arial" w:eastAsia="맑은 고딕" w:cs="Arial"/>
          <w:sz w:val="19"/>
          <w:szCs w:val="19"/>
          <w:color w:val="000000"/>
        </w:rPr>
        <w:t xml:space="preserve"/>
      </w:r>
      <w:r>
        <w:drawing>
          <wp:inline distT="0" distB="0" distL="0" distR="0">
            <wp:extent cx="3175200" cy="2410968"/>
            <wp:effectExtent l="0" t="0" r="0" b="0"/>
            <wp:docPr id="4" name="figure4" descr="EPF 최대확률 분류 혼동행렬"/>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ure4.png"/>
                    <ns4:cNvPicPr/>
                  </ns4:nvPicPr>
                  <ns4:blipFill>
                    <ns3:blip r:embed="rIdEPFPaperImage4"/>
                    <ns3:stretch>
                      <ns3:fillRect/>
                    </ns3:stretch>
                  </ns4:blipFill>
                  <ns4:spPr>
                    <ns3:xfrm>
                      <ns3:off x="0" y="0"/>
                      <ns3:ext cx="3175200" cy="2410968"/>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4. EPF 전체 OOF 예측의 조사 가중 행 정규화 혼동행렬. 결정 규칙은 다섯 군 중 최대 확률 선택이다.</w:t>
      </w:r>
    </w:p>
    <w:p>
      <w:pPr>
        <w:widowControl/>
        <w:keepNext/>
        <w:keepLines/>
        <w:snapToGrid w:val="0"/>
        <w:jc w:val="center"/>
        <w:spacing w:before="30" w:after="10" w:line="240" w:lineRule="atLeast"/>
        <w:pageBreakBefore/>
      </w:pPr>
      <w:r>
        <w:rPr>
          <w:rFonts w:ascii="Arial" w:hAnsi="Arial" w:eastAsia="맑은 고딕" w:cs="Arial"/>
          <w:sz w:val="19"/>
          <w:szCs w:val="19"/>
          <w:color w:val="000000"/>
        </w:rPr>
        <w:t xml:space="preserve"/>
      </w:r>
      <w:r>
        <w:drawing>
          <wp:inline distT="0" distB="0" distL="0" distR="0">
            <wp:extent cx="3175200" cy="3320768"/>
            <wp:effectExtent l="0" t="0" r="0" b="0"/>
            <wp:docPr id="5" name="figure5" descr="EPF 원입력 SHAP 중요도"/>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ure5.png"/>
                    <ns4:cNvPicPr/>
                  </ns4:nvPicPr>
                  <ns4:blipFill>
                    <ns3:blip r:embed="rIdEPFPaperImage5"/>
                    <ns3:stretch>
                      <ns3:fillRect/>
                    </ns3:stretch>
                  </ns4:blipFill>
                  <ns4:spPr>
                    <ns3:xfrm>
                      <ns3:off x="0" y="0"/>
                      <ns3:ext cx="3175200" cy="3320768"/>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5. EPF의 15개 원입력에 대한 평균 절대 SHAP. 주황색은 생활습관 입력이며 선은 다섯 시험연도 값의 범위로 신뢰구간이 아니다.</w:t>
      </w:r>
    </w:p>
    <w:p>
      <w:pPr>
        <w:widowControl/>
        <w:snapToGrid w:val="0"/>
        <w:jc w:val="both"/>
        <w:spacing w:before="0" w:after="0" w:line="20" w:lineRule="exact"/>
      </w:pPr>
      <w:r>
        <w:rPr>
          <w:rFonts w:ascii="Arial" w:hAnsi="Arial" w:eastAsia="맑은 고딕" w:cs="Arial"/>
          <w:sz w:val="19"/>
          <w:szCs w:val="19"/>
          <w:color w:val="000000"/>
        </w:rPr>
        <w:t xml:space="preserve"/>
      </w:r>
      <w:r>
        <w:br w:type="column"/>
      </w:r>
    </w:p>
    <w:p>
      <w:pPr>
        <w:widowControl/>
        <w:keepNext/>
        <w:keepLines/>
        <w:snapToGrid w:val="0"/>
        <w:jc w:val="center"/>
        <w:spacing w:before="25" w:after="55" w:line="218" w:lineRule="atLeast"/>
      </w:pPr>
      <w:r>
        <w:rPr>
          <w:rFonts w:ascii="Arial" w:hAnsi="Arial" w:eastAsia="맑은 고딕" w:cs="Arial"/>
          <w:sz w:val="18"/>
          <w:szCs w:val="18"/>
          <w:color w:val="000000"/>
        </w:rPr>
        <w:t xml:space="preserve">표 1. 다섯 대사소견군의 정의와 비가중 인원</w:t>
      </w:r>
    </w:p>
    <w:tbl>
      <w:tblPr>
        <w:tblW w:w="5028"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26" w:type="dxa"/>
          <w:bottom w:w="26" w:type="dxa"/>
          <w:left w:w="40" w:type="dxa"/>
          <w:right w:w="40" w:type="dxa"/>
        </w:tblCellMar>
      </w:tblPr>
      <w:tblGrid>
        <w:gridCol w:w="1257"/>
        <w:gridCol w:w="2914"/>
        <w:gridCol w:w="857"/>
      </w:tblGrid>
      <w:tr>
        <w:trPr>
          <w:cantSplit/>
          <w:tblHeader/>
        </w:trPr>
        <w:tc>
          <w:tcPr>
            <w:tcW w:w="1257"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군</w:t>
            </w:r>
          </w:p>
        </w:tc>
        <w:tc>
          <w:tcPr>
            <w:tcW w:w="2914"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정의</w:t>
            </w:r>
          </w:p>
        </w:tc>
        <w:tc>
          <w:tcPr>
            <w:tcW w:w="857"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n</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정상</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네 소견 모두 음성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2,796</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혈압 단독</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혈압 영역만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183</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혈당 단독</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혈당 영역만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233</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지질 단독</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지질 영역만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813</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복합</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세 영역 중 두 영역 이상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483</w:t>
            </w:r>
          </w:p>
        </w:tc>
      </w:tr>
    </w:tbl>
    <w:p>
      <w:pPr>
        <w:widowControl/>
        <w:snapToGrid w:val="0"/>
        <w:jc w:val="both"/>
        <w:spacing w:before="0" w:after="0" w:line="20" w:lineRule="exact"/>
      </w:pPr>
      <w:r>
        <w:rPr>
          <w:rFonts w:ascii="Arial" w:hAnsi="Arial" w:eastAsia="맑은 고딕" w:cs="Arial"/>
          <w:sz w:val="19"/>
          <w:szCs w:val="19"/>
          <w:color w:val="000000"/>
        </w:rPr>
        <w:t xml:space="preserve"/>
      </w:r>
    </w:p>
    <w:p>
      <w:pPr>
        <w:widowControl/>
        <w:keepNext/>
        <w:keepLines/>
        <w:snapToGrid w:val="0"/>
        <w:jc w:val="center"/>
        <w:spacing w:before="25" w:after="55" w:line="218" w:lineRule="atLeast"/>
      </w:pPr>
      <w:r>
        <w:rPr>
          <w:rFonts w:ascii="Arial" w:hAnsi="Arial" w:eastAsia="맑은 고딕" w:cs="Arial"/>
          <w:sz w:val="18"/>
          <w:szCs w:val="18"/>
          <w:color w:val="000000"/>
        </w:rPr>
        <w:t xml:space="preserve">표 2. 동일 표본에서의 연도 제외 분류 성능</w:t>
      </w:r>
    </w:p>
    <w:tbl>
      <w:tblPr>
        <w:tblW w:w="5028"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26" w:type="dxa"/>
          <w:bottom w:w="26" w:type="dxa"/>
          <w:left w:w="40" w:type="dxa"/>
          <w:right w:w="40" w:type="dxa"/>
        </w:tblCellMar>
      </w:tblPr>
      <w:tblGrid>
        <w:gridCol w:w="857"/>
        <w:gridCol w:w="1257"/>
        <w:gridCol w:w="1828"/>
        <w:gridCol w:w="1086"/>
      </w:tblGrid>
      <w:tr>
        <w:trPr>
          <w:cantSplit/>
          <w:tblHeader/>
        </w:trPr>
        <w:tc>
          <w:tcPr>
            <w:tcW w:w="857"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모델</w:t>
            </w:r>
          </w:p>
        </w:tc>
        <w:tc>
          <w:tcPr>
            <w:tcW w:w="1257"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평균 연도 AP</w:t>
            </w:r>
          </w:p>
        </w:tc>
        <w:tc>
          <w:tcPr>
            <w:tcW w:w="1828"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95% 구간</w:t>
            </w:r>
          </w:p>
        </w:tc>
        <w:tc>
          <w:tcPr>
            <w:tcW w:w="1086"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전체 OOF AP</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jEPF</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0.3571</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0.3502–0.3774</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0.3481</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XGB</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0.3544</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0.3476–0.3745</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0.3438</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jMLP</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0.3516</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0.3452–0.3720</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0.3436</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LGBM</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0.3516</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0.3450–0.3725</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0.3406</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MLP</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0.3509</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0.3440–0.3701</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0.3395</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LR</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0.3503</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0.3448–0.3712</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0.3358</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jLinear</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0.3485</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0.3432–0.3685</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0.3417</w:t>
            </w:r>
          </w:p>
        </w:tc>
      </w:tr>
      <w:tr>
        <w:trPr>
          <w:cantSplit/>
        </w:trPr>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RF</w:t>
            </w:r>
          </w:p>
        </w:tc>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0.3470</w:t>
            </w:r>
          </w:p>
        </w:tc>
        <w:tc>
          <w:tcPr>
            <w:tcW w:w="18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0.3419–0.3671</w:t>
            </w:r>
          </w:p>
        </w:tc>
        <w:tc>
          <w:tcPr>
            <w:tcW w:w="1086"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0.3347</w:t>
            </w:r>
          </w:p>
        </w:tc>
      </w:tr>
    </w:tbl>
    <w:p>
      <w:pPr>
        <w:widowControl/>
        <w:snapToGrid w:val="0"/>
        <w:jc w:val="both"/>
        <w:spacing w:before="0" w:after="0" w:line="20" w:lineRule="exact"/>
      </w:pPr>
      <w:r>
        <w:rPr>
          <w:rFonts w:ascii="Arial" w:hAnsi="Arial" w:eastAsia="맑은 고딕" w:cs="Arial"/>
          <w:sz w:val="19"/>
          <w:szCs w:val="19"/>
          <w:color w:val="000000"/>
        </w:rPr>
        <w:t xml:space="preserve"/>
      </w:r>
    </w:p>
    <w:sectPr w:rsidR="00485FE8">
      <w:type w:val="continuous"/>
      <w:pgSz w:w="11906" w:h="16838" w:code="9"/>
      <w:pgMar w:top="1701" w:right="567" w:bottom="1134" w:left="567" w:header="0" w:footer="0" w:gutter="0"/>
      <w:cols w:num="2" w:space="720"/>
      <w:docGrid w:type="lines" w:linePitch="28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7D5A" w:rsidRDefault="00007D5A">
      <w:r>
        <w:separator/>
      </w:r>
    </w:p>
  </w:endnote>
  <w:endnote w:type="continuationSeparator" w:id="0">
    <w:p w:rsidR="00007D5A" w:rsidRDefault="00007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한양신명조">
    <w:altName w:val="Times New Roman"/>
    <w:charset w:val="00"/>
    <w:family w:val="auto"/>
    <w:pitch w:val="default"/>
  </w:font>
  <w:font w:name="함초롬돋움">
    <w:panose1 w:val="02030504000101010101"/>
    <w:charset w:val="81"/>
    <w:family w:val="modern"/>
    <w:pitch w:val="variable"/>
    <w:sig w:usb0="F7002EFF" w:usb1="19DFFFFF" w:usb2="001BFDD7" w:usb3="00000000" w:csb0="001F007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7D5A" w:rsidRDefault="00007D5A">
      <w:r>
        <w:separator/>
      </w:r>
    </w:p>
  </w:footnote>
  <w:footnote w:type="continuationSeparator" w:id="0">
    <w:p w:rsidR="00007D5A" w:rsidRDefault="00007D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B3772"/>
    <w:multiLevelType w:val="hybridMultilevel"/>
    <w:tmpl w:val="53D0EDE2"/>
    <w:lvl w:ilvl="0" w:tplc="4A66A674">
      <w:start w:val="1"/>
      <w:numFmt w:val="decimalEnclosedCircle"/>
      <w:lvlText w:val="%1"/>
      <w:lvlJc w:val="left"/>
      <w:pPr>
        <w:ind w:left="865" w:hanging="360"/>
      </w:pPr>
      <w:rPr>
        <w:rFonts w:hint="default"/>
      </w:rPr>
    </w:lvl>
    <w:lvl w:ilvl="1" w:tplc="04090019" w:tentative="1">
      <w:start w:val="1"/>
      <w:numFmt w:val="upperLetter"/>
      <w:lvlText w:val="%2."/>
      <w:lvlJc w:val="left"/>
      <w:pPr>
        <w:ind w:left="1305" w:hanging="400"/>
      </w:pPr>
    </w:lvl>
    <w:lvl w:ilvl="2" w:tplc="0409001B" w:tentative="1">
      <w:start w:val="1"/>
      <w:numFmt w:val="lowerRoman"/>
      <w:lvlText w:val="%3."/>
      <w:lvlJc w:val="right"/>
      <w:pPr>
        <w:ind w:left="1705" w:hanging="400"/>
      </w:pPr>
    </w:lvl>
    <w:lvl w:ilvl="3" w:tplc="0409000F" w:tentative="1">
      <w:start w:val="1"/>
      <w:numFmt w:val="decimal"/>
      <w:lvlText w:val="%4."/>
      <w:lvlJc w:val="left"/>
      <w:pPr>
        <w:ind w:left="2105" w:hanging="400"/>
      </w:pPr>
    </w:lvl>
    <w:lvl w:ilvl="4" w:tplc="04090019" w:tentative="1">
      <w:start w:val="1"/>
      <w:numFmt w:val="upperLetter"/>
      <w:lvlText w:val="%5."/>
      <w:lvlJc w:val="left"/>
      <w:pPr>
        <w:ind w:left="2505" w:hanging="400"/>
      </w:pPr>
    </w:lvl>
    <w:lvl w:ilvl="5" w:tplc="0409001B" w:tentative="1">
      <w:start w:val="1"/>
      <w:numFmt w:val="lowerRoman"/>
      <w:lvlText w:val="%6."/>
      <w:lvlJc w:val="right"/>
      <w:pPr>
        <w:ind w:left="2905" w:hanging="400"/>
      </w:pPr>
    </w:lvl>
    <w:lvl w:ilvl="6" w:tplc="0409000F" w:tentative="1">
      <w:start w:val="1"/>
      <w:numFmt w:val="decimal"/>
      <w:lvlText w:val="%7."/>
      <w:lvlJc w:val="left"/>
      <w:pPr>
        <w:ind w:left="3305" w:hanging="400"/>
      </w:pPr>
    </w:lvl>
    <w:lvl w:ilvl="7" w:tplc="04090019" w:tentative="1">
      <w:start w:val="1"/>
      <w:numFmt w:val="upperLetter"/>
      <w:lvlText w:val="%8."/>
      <w:lvlJc w:val="left"/>
      <w:pPr>
        <w:ind w:left="3705" w:hanging="400"/>
      </w:pPr>
    </w:lvl>
    <w:lvl w:ilvl="8" w:tplc="0409001B" w:tentative="1">
      <w:start w:val="1"/>
      <w:numFmt w:val="lowerRoman"/>
      <w:lvlText w:val="%9."/>
      <w:lvlJc w:val="right"/>
      <w:pPr>
        <w:ind w:left="4105" w:hanging="400"/>
      </w:pPr>
    </w:lvl>
  </w:abstractNum>
  <w:abstractNum w:abstractNumId="1">
    <w:nsid w:val="6FDA4A9F"/>
    <w:multiLevelType w:val="hybridMultilevel"/>
    <w:tmpl w:val="FEBCF970"/>
    <w:lvl w:ilvl="0" w:tplc="27F8B1EA">
      <w:start w:val="9"/>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evenAndOddHeaders/>
  <w:drawingGridHorizontalSpacing w:val="100"/>
  <w:drawingGridVerticalSpacing w:val="14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FE8"/>
    <w:rsid w:val="00007D5A"/>
    <w:rsid w:val="00155F3E"/>
    <w:rsid w:val="00485FE8"/>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Light Shading Accent 1" w:uiPriority="96"/>
    <w:lsdException w:name="Light List Accent 1" w:uiPriority="97"/>
    <w:lsdException w:name="Light Grid Accent 1" w:uiPriority="98"/>
    <w:lsdException w:name="Medium Shading 1 Accent 1" w:uiPriority="99"/>
    <w:lsdException w:name="Revision" w:semiHidden="1"/>
    <w:lsdException w:name="List Paragraph" w:uiPriority="52" w:qFormat="1"/>
    <w:lsdException w:name="Quote" w:uiPriority="41" w:qFormat="1"/>
    <w:lsdException w:name="Intense Quote" w:uiPriority="48" w:qFormat="1"/>
    <w:lsdException w:name="Light Shading Accent 2" w:uiPriority="96"/>
    <w:lsdException w:name="Light List Accent 2" w:uiPriority="97"/>
    <w:lsdException w:name="Light Grid Accent 2" w:uiPriority="98"/>
    <w:lsdException w:name="Medium Shading 1 Accent 2" w:uiPriority="99"/>
    <w:lsdException w:name="Light Shading Accent 3" w:uiPriority="96"/>
    <w:lsdException w:name="Light List Accent 3" w:uiPriority="97"/>
    <w:lsdException w:name="Light Grid Accent 3" w:uiPriority="98"/>
    <w:lsdException w:name="Medium Shading 1 Accent 3" w:uiPriority="99"/>
    <w:lsdException w:name="Light Shading Accent 4" w:uiPriority="96"/>
    <w:lsdException w:name="Light List Accent 4" w:uiPriority="97"/>
    <w:lsdException w:name="Light Grid Accent 4" w:uiPriority="98"/>
    <w:lsdException w:name="Medium Shading 1 Accent 4" w:uiPriority="99"/>
    <w:lsdException w:name="Light Shading Accent 5" w:uiPriority="96"/>
    <w:lsdException w:name="Light List Accent 5" w:uiPriority="97"/>
    <w:lsdException w:name="Light Grid Accent 5" w:uiPriority="98"/>
    <w:lsdException w:name="Medium Shading 1 Accent 5" w:uiPriority="99"/>
    <w:lsdException w:name="Light Shading Accent 6" w:uiPriority="96"/>
    <w:lsdException w:name="Light List Accent 6" w:uiPriority="97"/>
    <w:lsdException w:name="Light Grid Accent 6" w:uiPriority="98"/>
    <w:lsdException w:name="Medium Shading 1 Accent 6" w:uiPriority="99"/>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link w:val="1Char"/>
    <w:uiPriority w:val="9"/>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semiHidden/>
  </w:style>
  <w:style w:type="table" w:customStyle="1" w:styleId="11">
    <w:name w:val="표준 표1"/>
    <w:semiHidden/>
    <w:tblPr>
      <w:tblInd w:w="0" w:type="dxa"/>
      <w:tblCellMar>
        <w:top w:w="0" w:type="dxa"/>
        <w:left w:w="108" w:type="dxa"/>
        <w:bottom w:w="0" w:type="dxa"/>
        <w:right w:w="108" w:type="dxa"/>
      </w:tblCellMar>
    </w:tblPr>
  </w:style>
  <w:style w:type="numbering" w:customStyle="1" w:styleId="12">
    <w:name w:val="목록 없음1"/>
    <w:semiHidden/>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styleId="a4">
    <w:name w:val="footer"/>
    <w:basedOn w:val="a"/>
    <w:link w:val="Char"/>
    <w:uiPriority w:val="99"/>
    <w:pPr>
      <w:tabs>
        <w:tab w:val="center" w:pos="4252"/>
        <w:tab w:val="right" w:pos="8504"/>
      </w:tabs>
      <w:snapToGrid w:val="0"/>
    </w:pPr>
  </w:style>
  <w:style w:type="paragraph" w:customStyle="1" w:styleId="a5">
    <w:name w:val="표준 단락"/>
    <w:pPr>
      <w:widowControl w:val="0"/>
      <w:autoSpaceDE w:val="0"/>
      <w:autoSpaceDN w:val="0"/>
      <w:spacing w:line="320" w:lineRule="atLeast"/>
      <w:textAlignment w:val="baseline"/>
    </w:pPr>
    <w:rPr>
      <w:rFonts w:ascii="바탕" w:hAnsi="바탕" w:cs="바탕"/>
      <w:color w:val="000000"/>
    </w:rPr>
  </w:style>
  <w:style w:type="table" w:customStyle="1" w:styleId="15">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6">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6">
    <w:name w:val="각주 참조1"/>
    <w:semiHidden/>
    <w:rPr>
      <w:vertAlign w:val="superscript"/>
    </w:rPr>
  </w:style>
  <w:style w:type="paragraph" w:customStyle="1" w:styleId="17">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8">
    <w:name w:val="열어본 하이퍼링크1"/>
    <w:rPr>
      <w:color w:val="800080"/>
      <w:u w:val="single"/>
    </w:rPr>
  </w:style>
  <w:style w:type="character" w:styleId="a7">
    <w:name w:val="Emphasis"/>
    <w:qFormat/>
    <w:rPr>
      <w:i/>
      <w:iCs/>
    </w:rPr>
  </w:style>
  <w:style w:type="character" w:customStyle="1" w:styleId="Char">
    <w:name w:val="바닥글 Char"/>
    <w:link w:val="a4"/>
    <w:uiPriority w:val="99"/>
    <w:rPr>
      <w:rFonts w:ascii="바탕" w:cs="바탕"/>
      <w:kern w:val="2"/>
    </w:rPr>
  </w:style>
  <w:style w:type="paragraph" w:customStyle="1" w:styleId="19">
    <w:name w:val="풍선 도움말 텍스트1"/>
    <w:basedOn w:val="a"/>
    <w:link w:val="Char0"/>
    <w:rPr>
      <w:rFonts w:ascii="맑은 고딕" w:eastAsia="맑은 고딕" w:hAnsi="맑은 고딕" w:cs="Times New Roman"/>
      <w:sz w:val="18"/>
      <w:szCs w:val="18"/>
    </w:rPr>
  </w:style>
  <w:style w:type="character" w:customStyle="1" w:styleId="Char0">
    <w:name w:val="풍선 도움말 텍스트 Char"/>
    <w:link w:val="19"/>
    <w:rPr>
      <w:rFonts w:ascii="맑은 고딕" w:eastAsia="맑은 고딕" w:hAnsi="맑은 고딕" w:cs="Times New Roman"/>
      <w:kern w:val="2"/>
      <w:sz w:val="18"/>
      <w:szCs w:val="18"/>
    </w:rPr>
  </w:style>
  <w:style w:type="paragraph" w:customStyle="1" w:styleId="sponsors">
    <w:name w:val="sponsors"/>
    <w:pPr>
      <w:framePr w:wrap="auto" w:hAnchor="text" w:x="615" w:y="2239"/>
      <w:pBdr>
        <w:top w:val="single" w:sz="4" w:space="2" w:color="auto"/>
      </w:pBdr>
      <w:ind w:firstLine="288"/>
    </w:pPr>
    <w:rPr>
      <w:rFonts w:eastAsia="SimSun"/>
      <w:sz w:val="16"/>
      <w:szCs w:val="16"/>
      <w:lang w:eastAsia="en-US"/>
    </w:rPr>
  </w:style>
  <w:style w:type="character" w:customStyle="1" w:styleId="1Char">
    <w:name w:val="제목 1 Char"/>
    <w:link w:val="1"/>
    <w:uiPriority w:val="9"/>
    <w:rPr>
      <w:rFonts w:ascii="½Å¸íÁ¶" w:hAnsi="½Å¸íÁ¶" w:cs="½Å¸íÁ¶"/>
      <w:b/>
      <w:bCs/>
      <w:kern w:val="2"/>
    </w:rPr>
  </w:style>
  <w:style w:type="paragraph" w:customStyle="1" w:styleId="1a">
    <w:name w:val="각주 텍스트1"/>
    <w:basedOn w:val="a"/>
    <w:link w:val="Char1"/>
    <w:pPr>
      <w:snapToGrid w:val="0"/>
      <w:jc w:val="left"/>
    </w:pPr>
  </w:style>
  <w:style w:type="character" w:customStyle="1" w:styleId="Char1">
    <w:name w:val="각주 텍스트 Char"/>
    <w:link w:val="1a"/>
    <w:rPr>
      <w:rFonts w:ascii="바탕" w:cs="바탕"/>
      <w:kern w:val="2"/>
    </w:rPr>
  </w:style>
  <w:style w:type="paragraph" w:customStyle="1" w:styleId="a8">
    <w:name w:val="바탕글"/>
    <w:basedOn w:val="a"/>
    <w:pPr>
      <w:snapToGrid w:val="0"/>
      <w:spacing w:line="384" w:lineRule="auto"/>
      <w:textAlignment w:val="baseline"/>
    </w:pPr>
    <w:rPr>
      <w:rFonts w:ascii="한양신명조" w:eastAsia="굴림" w:hAnsi="굴림" w:cs="굴림"/>
      <w:color w:val="000000"/>
      <w:kern w:val="0"/>
    </w:rPr>
  </w:style>
  <w:style w:type="character" w:styleId="a9">
    <w:name w:val="Intense Reference"/>
    <w:uiPriority w:val="32"/>
    <w:qFormat/>
    <w:rPr>
      <w:b/>
      <w:bCs/>
      <w:smallCaps/>
      <w:color w:val="C0504D"/>
      <w:spacing w:val="5"/>
      <w:u w:val="single"/>
    </w:rPr>
  </w:style>
  <w:style w:type="paragraph" w:styleId="Title">
    <w:name w:val="Title"/>
    <w:basedOn w:val="Normal"/>
    <w:next w:val="Normal"/>
    <w:qFormat/>
    <w:pPr>
      <w:jc w:val="center"/>
    </w:pPr>
    <w:rPr>
      <w:color w:val="000000"/>
      <w:sz w:val="32"/>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Light Shading Accent 1" w:uiPriority="96"/>
    <w:lsdException w:name="Light List Accent 1" w:uiPriority="97"/>
    <w:lsdException w:name="Light Grid Accent 1" w:uiPriority="98"/>
    <w:lsdException w:name="Medium Shading 1 Accent 1" w:uiPriority="99"/>
    <w:lsdException w:name="Revision" w:semiHidden="1"/>
    <w:lsdException w:name="List Paragraph" w:uiPriority="52" w:qFormat="1"/>
    <w:lsdException w:name="Quote" w:uiPriority="41" w:qFormat="1"/>
    <w:lsdException w:name="Intense Quote" w:uiPriority="48" w:qFormat="1"/>
    <w:lsdException w:name="Light Shading Accent 2" w:uiPriority="96"/>
    <w:lsdException w:name="Light List Accent 2" w:uiPriority="97"/>
    <w:lsdException w:name="Light Grid Accent 2" w:uiPriority="98"/>
    <w:lsdException w:name="Medium Shading 1 Accent 2" w:uiPriority="99"/>
    <w:lsdException w:name="Light Shading Accent 3" w:uiPriority="96"/>
    <w:lsdException w:name="Light List Accent 3" w:uiPriority="97"/>
    <w:lsdException w:name="Light Grid Accent 3" w:uiPriority="98"/>
    <w:lsdException w:name="Medium Shading 1 Accent 3" w:uiPriority="99"/>
    <w:lsdException w:name="Light Shading Accent 4" w:uiPriority="96"/>
    <w:lsdException w:name="Light List Accent 4" w:uiPriority="97"/>
    <w:lsdException w:name="Light Grid Accent 4" w:uiPriority="98"/>
    <w:lsdException w:name="Medium Shading 1 Accent 4" w:uiPriority="99"/>
    <w:lsdException w:name="Light Shading Accent 5" w:uiPriority="96"/>
    <w:lsdException w:name="Light List Accent 5" w:uiPriority="97"/>
    <w:lsdException w:name="Light Grid Accent 5" w:uiPriority="98"/>
    <w:lsdException w:name="Medium Shading 1 Accent 5" w:uiPriority="99"/>
    <w:lsdException w:name="Light Shading Accent 6" w:uiPriority="96"/>
    <w:lsdException w:name="Light List Accent 6" w:uiPriority="97"/>
    <w:lsdException w:name="Light Grid Accent 6" w:uiPriority="98"/>
    <w:lsdException w:name="Medium Shading 1 Accent 6" w:uiPriority="99"/>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link w:val="1Char"/>
    <w:uiPriority w:val="9"/>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semiHidden/>
  </w:style>
  <w:style w:type="table" w:customStyle="1" w:styleId="11">
    <w:name w:val="표준 표1"/>
    <w:semiHidden/>
    <w:tblPr>
      <w:tblInd w:w="0" w:type="dxa"/>
      <w:tblCellMar>
        <w:top w:w="0" w:type="dxa"/>
        <w:left w:w="108" w:type="dxa"/>
        <w:bottom w:w="0" w:type="dxa"/>
        <w:right w:w="108" w:type="dxa"/>
      </w:tblCellMar>
    </w:tblPr>
  </w:style>
  <w:style w:type="numbering" w:customStyle="1" w:styleId="12">
    <w:name w:val="목록 없음1"/>
    <w:semiHidden/>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styleId="a4">
    <w:name w:val="footer"/>
    <w:basedOn w:val="a"/>
    <w:link w:val="Char"/>
    <w:uiPriority w:val="99"/>
    <w:pPr>
      <w:tabs>
        <w:tab w:val="center" w:pos="4252"/>
        <w:tab w:val="right" w:pos="8504"/>
      </w:tabs>
      <w:snapToGrid w:val="0"/>
    </w:pPr>
  </w:style>
  <w:style w:type="paragraph" w:customStyle="1" w:styleId="a5">
    <w:name w:val="표준 단락"/>
    <w:pPr>
      <w:widowControl w:val="0"/>
      <w:autoSpaceDE w:val="0"/>
      <w:autoSpaceDN w:val="0"/>
      <w:spacing w:line="320" w:lineRule="atLeast"/>
      <w:textAlignment w:val="baseline"/>
    </w:pPr>
    <w:rPr>
      <w:rFonts w:ascii="바탕" w:hAnsi="바탕" w:cs="바탕"/>
      <w:color w:val="000000"/>
    </w:rPr>
  </w:style>
  <w:style w:type="table" w:customStyle="1" w:styleId="15">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6">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6">
    <w:name w:val="각주 참조1"/>
    <w:semiHidden/>
    <w:rPr>
      <w:vertAlign w:val="superscript"/>
    </w:rPr>
  </w:style>
  <w:style w:type="paragraph" w:customStyle="1" w:styleId="17">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8">
    <w:name w:val="열어본 하이퍼링크1"/>
    <w:rPr>
      <w:color w:val="800080"/>
      <w:u w:val="single"/>
    </w:rPr>
  </w:style>
  <w:style w:type="character" w:styleId="a7">
    <w:name w:val="Emphasis"/>
    <w:qFormat/>
    <w:rPr>
      <w:i/>
      <w:iCs/>
    </w:rPr>
  </w:style>
  <w:style w:type="character" w:customStyle="1" w:styleId="Char">
    <w:name w:val="바닥글 Char"/>
    <w:link w:val="a4"/>
    <w:uiPriority w:val="99"/>
    <w:rPr>
      <w:rFonts w:ascii="바탕" w:cs="바탕"/>
      <w:kern w:val="2"/>
    </w:rPr>
  </w:style>
  <w:style w:type="paragraph" w:customStyle="1" w:styleId="19">
    <w:name w:val="풍선 도움말 텍스트1"/>
    <w:basedOn w:val="a"/>
    <w:link w:val="Char0"/>
    <w:rPr>
      <w:rFonts w:ascii="맑은 고딕" w:eastAsia="맑은 고딕" w:hAnsi="맑은 고딕" w:cs="Times New Roman"/>
      <w:sz w:val="18"/>
      <w:szCs w:val="18"/>
    </w:rPr>
  </w:style>
  <w:style w:type="character" w:customStyle="1" w:styleId="Char0">
    <w:name w:val="풍선 도움말 텍스트 Char"/>
    <w:link w:val="19"/>
    <w:rPr>
      <w:rFonts w:ascii="맑은 고딕" w:eastAsia="맑은 고딕" w:hAnsi="맑은 고딕" w:cs="Times New Roman"/>
      <w:kern w:val="2"/>
      <w:sz w:val="18"/>
      <w:szCs w:val="18"/>
    </w:rPr>
  </w:style>
  <w:style w:type="paragraph" w:customStyle="1" w:styleId="sponsors">
    <w:name w:val="sponsors"/>
    <w:pPr>
      <w:framePr w:wrap="auto" w:hAnchor="text" w:x="615" w:y="2239"/>
      <w:pBdr>
        <w:top w:val="single" w:sz="4" w:space="2" w:color="auto"/>
      </w:pBdr>
      <w:ind w:firstLine="288"/>
    </w:pPr>
    <w:rPr>
      <w:rFonts w:eastAsia="SimSun"/>
      <w:sz w:val="16"/>
      <w:szCs w:val="16"/>
      <w:lang w:eastAsia="en-US"/>
    </w:rPr>
  </w:style>
  <w:style w:type="character" w:customStyle="1" w:styleId="1Char">
    <w:name w:val="제목 1 Char"/>
    <w:link w:val="1"/>
    <w:uiPriority w:val="9"/>
    <w:rPr>
      <w:rFonts w:ascii="½Å¸íÁ¶" w:hAnsi="½Å¸íÁ¶" w:cs="½Å¸íÁ¶"/>
      <w:b/>
      <w:bCs/>
      <w:kern w:val="2"/>
    </w:rPr>
  </w:style>
  <w:style w:type="paragraph" w:customStyle="1" w:styleId="1a">
    <w:name w:val="각주 텍스트1"/>
    <w:basedOn w:val="a"/>
    <w:link w:val="Char1"/>
    <w:pPr>
      <w:snapToGrid w:val="0"/>
      <w:jc w:val="left"/>
    </w:pPr>
  </w:style>
  <w:style w:type="character" w:customStyle="1" w:styleId="Char1">
    <w:name w:val="각주 텍스트 Char"/>
    <w:link w:val="1a"/>
    <w:rPr>
      <w:rFonts w:ascii="바탕" w:cs="바탕"/>
      <w:kern w:val="2"/>
    </w:rPr>
  </w:style>
  <w:style w:type="paragraph" w:customStyle="1" w:styleId="a8">
    <w:name w:val="바탕글"/>
    <w:basedOn w:val="a"/>
    <w:pPr>
      <w:snapToGrid w:val="0"/>
      <w:spacing w:line="384" w:lineRule="auto"/>
      <w:textAlignment w:val="baseline"/>
    </w:pPr>
    <w:rPr>
      <w:rFonts w:ascii="한양신명조" w:eastAsia="굴림" w:hAnsi="굴림" w:cs="굴림"/>
      <w:color w:val="000000"/>
      <w:kern w:val="0"/>
    </w:rPr>
  </w:style>
  <w:style w:type="character" w:styleId="a9">
    <w:name w:val="Intense Reference"/>
    <w:uiPriority w:val="32"/>
    <w:qFormat/>
    <w:rPr>
      <w:b/>
      <w:bCs/>
      <w:smallCaps/>
      <w:color w:val="C0504D"/>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iise.or.kr/conference02/data/sample1.pdf"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iise.or.kr/conference02/data/sample2.pdf" TargetMode="External"/><Relationship Id="rIdEPFPaperImage1" Type="http://schemas.openxmlformats.org/officeDocument/2006/relationships/image" Target="media/epf_1.png"/><Relationship Id="rIdEPFPaperImage2" Type="http://schemas.openxmlformats.org/officeDocument/2006/relationships/image" Target="media/epf_2.png"/><Relationship Id="rIdEPFPaperImage3" Type="http://schemas.openxmlformats.org/officeDocument/2006/relationships/image" Target="media/epf_3.png"/><Relationship Id="rIdEPFPaperImage4" Type="http://schemas.openxmlformats.org/officeDocument/2006/relationships/image" Target="media/epf_4.png"/><Relationship Id="rIdEPFPaperImage5" Type="http://schemas.openxmlformats.org/officeDocument/2006/relationships/image" Target="media/epf_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1659</Characters>
  <Application>Microsoft Office Word</Application>
  <DocSecurity>0</DocSecurity>
  <Lines>13</Lines>
  <Paragraphs>3</Paragraphs>
  <ScaleCrop>false</ScaleCrop>
  <Manager/>
  <Company/>
  <LinksUpToDate>false</LinksUpToDate>
  <CharactersWithSpaces>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2025-09-22T02:17:00Z</dcterms:created>
  <dcterms:modified xsi:type="dcterms:W3CDTF">2026-09-04T08:54:00Z</dcterms:modified>
  <cp:version>1300.0100.01</cp:version>
</cp:coreProperties>
</file>