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16517"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4FE38277"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31ECA7A9"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24019B63"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2734158C" w14:textId="77777777" w:rsidR="00691C15" w:rsidRDefault="00691C15" w:rsidP="00691C15">
      <w:pPr>
        <w:spacing w:before="100" w:beforeAutospacing="1" w:after="100" w:afterAutospacing="1" w:line="240" w:lineRule="auto"/>
        <w:jc w:val="center"/>
        <w:rPr>
          <w:rFonts w:ascii="Calibri" w:eastAsia="Times New Roman" w:hAnsi="Calibri" w:cs="Calibri"/>
          <w:b/>
          <w:bCs/>
          <w:kern w:val="0"/>
          <w:sz w:val="22"/>
          <w:szCs w:val="22"/>
          <w14:ligatures w14:val="none"/>
        </w:rPr>
      </w:pPr>
    </w:p>
    <w:p w14:paraId="4BA21CCA" w14:textId="4424CD05" w:rsidR="00691C15" w:rsidRDefault="003C7799" w:rsidP="003C7799">
      <w:pPr>
        <w:spacing w:before="100" w:beforeAutospacing="1" w:after="100" w:afterAutospacing="1" w:line="240" w:lineRule="auto"/>
        <w:jc w:val="center"/>
        <w:rPr>
          <w:rFonts w:ascii="Calibri" w:eastAsia="Times New Roman" w:hAnsi="Calibri" w:cs="Calibri"/>
          <w:b/>
          <w:bCs/>
          <w:kern w:val="0"/>
          <w:sz w:val="22"/>
          <w:szCs w:val="22"/>
          <w14:ligatures w14:val="none"/>
        </w:rPr>
      </w:pPr>
      <w:r w:rsidRPr="00C51E75">
        <w:rPr>
          <w:rFonts w:ascii="Calibri" w:eastAsia="Times New Roman" w:hAnsi="Calibri" w:cs="Calibri"/>
          <w:b/>
          <w:bCs/>
          <w:kern w:val="0"/>
          <w:sz w:val="22"/>
          <w:szCs w:val="22"/>
          <w14:ligatures w14:val="none"/>
        </w:rPr>
        <w:t>The Necessity of an Internal DFIR Team</w:t>
      </w:r>
    </w:p>
    <w:p w14:paraId="422FEFB4" w14:textId="77777777" w:rsidR="007F69F0" w:rsidRDefault="007F69F0" w:rsidP="003C7799">
      <w:pPr>
        <w:spacing w:before="100" w:beforeAutospacing="1" w:after="100" w:afterAutospacing="1" w:line="240" w:lineRule="auto"/>
        <w:jc w:val="center"/>
        <w:rPr>
          <w:rFonts w:ascii="Calibri" w:eastAsia="Times New Roman" w:hAnsi="Calibri" w:cs="Calibri"/>
          <w:b/>
          <w:bCs/>
          <w:kern w:val="0"/>
          <w:sz w:val="22"/>
          <w:szCs w:val="22"/>
          <w14:ligatures w14:val="none"/>
        </w:rPr>
      </w:pPr>
    </w:p>
    <w:p w14:paraId="0BB610F9" w14:textId="6B2897BC" w:rsidR="007F69F0" w:rsidRDefault="007F69F0" w:rsidP="003C7799">
      <w:pPr>
        <w:spacing w:before="100" w:beforeAutospacing="1" w:after="100" w:afterAutospacing="1" w:line="240" w:lineRule="auto"/>
        <w:jc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Kevin D. Winfield</w:t>
      </w:r>
    </w:p>
    <w:p w14:paraId="10D70393" w14:textId="257541AD" w:rsidR="0032496F" w:rsidRDefault="008A3F22" w:rsidP="003C7799">
      <w:pPr>
        <w:spacing w:before="100" w:beforeAutospacing="1" w:after="100" w:afterAutospacing="1" w:line="240" w:lineRule="auto"/>
        <w:jc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Cybersecurity Management</w:t>
      </w:r>
      <w:r w:rsidR="00E45238">
        <w:rPr>
          <w:rFonts w:ascii="Calibri" w:eastAsia="Times New Roman" w:hAnsi="Calibri" w:cs="Calibri"/>
          <w:kern w:val="0"/>
          <w:sz w:val="22"/>
          <w:szCs w:val="22"/>
          <w14:ligatures w14:val="none"/>
        </w:rPr>
        <w:t xml:space="preserve">, </w:t>
      </w:r>
      <w:r w:rsidR="0053454E">
        <w:rPr>
          <w:rFonts w:ascii="Calibri" w:eastAsia="Times New Roman" w:hAnsi="Calibri" w:cs="Calibri"/>
          <w:kern w:val="0"/>
          <w:sz w:val="22"/>
          <w:szCs w:val="22"/>
          <w14:ligatures w14:val="none"/>
        </w:rPr>
        <w:t>Murray State University</w:t>
      </w:r>
    </w:p>
    <w:p w14:paraId="0B0EB60D" w14:textId="68503B31" w:rsidR="00526BB0" w:rsidRDefault="00526BB0" w:rsidP="003C7799">
      <w:pPr>
        <w:spacing w:before="100" w:beforeAutospacing="1" w:after="100" w:afterAutospacing="1" w:line="240" w:lineRule="auto"/>
        <w:jc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CYS 640</w:t>
      </w:r>
      <w:r w:rsidR="00FC4A87">
        <w:rPr>
          <w:rFonts w:ascii="Calibri" w:eastAsia="Times New Roman" w:hAnsi="Calibri" w:cs="Calibri"/>
          <w:kern w:val="0"/>
          <w:sz w:val="22"/>
          <w:szCs w:val="22"/>
          <w14:ligatures w14:val="none"/>
        </w:rPr>
        <w:t>:</w:t>
      </w:r>
      <w:r w:rsidR="008A3F22">
        <w:rPr>
          <w:rFonts w:ascii="Calibri" w:eastAsia="Times New Roman" w:hAnsi="Calibri" w:cs="Calibri"/>
          <w:kern w:val="0"/>
          <w:sz w:val="22"/>
          <w:szCs w:val="22"/>
          <w14:ligatures w14:val="none"/>
        </w:rPr>
        <w:t xml:space="preserve"> Incident Management and Business Continuity</w:t>
      </w:r>
    </w:p>
    <w:p w14:paraId="123AF403" w14:textId="79B2505A" w:rsidR="001931DE" w:rsidRDefault="00D31F47" w:rsidP="003C7799">
      <w:pPr>
        <w:spacing w:before="100" w:beforeAutospacing="1" w:after="100" w:afterAutospacing="1" w:line="240" w:lineRule="auto"/>
        <w:jc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Dr. Randall Joyce</w:t>
      </w:r>
    </w:p>
    <w:p w14:paraId="1D76BFB0" w14:textId="32CEFF65" w:rsidR="00E92EAF" w:rsidRPr="007F69F0" w:rsidRDefault="00A319CB" w:rsidP="003C7799">
      <w:pPr>
        <w:spacing w:before="100" w:beforeAutospacing="1" w:after="100" w:afterAutospacing="1" w:line="240" w:lineRule="auto"/>
        <w:jc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March 4, 2025</w:t>
      </w:r>
    </w:p>
    <w:p w14:paraId="54733C36"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32CA68BD"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7B0EDE2A"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066B0959"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1821C750"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7AC8F65C"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3B4E2BC5"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1CB164DD"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646BBEEE"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569B8D38" w14:textId="77777777" w:rsidR="00691C15" w:rsidRDefault="00691C15"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2FB16967" w14:textId="77777777" w:rsidR="006417F6" w:rsidRDefault="006417F6" w:rsidP="00373F21">
      <w:pPr>
        <w:spacing w:before="100" w:beforeAutospacing="1" w:after="100" w:afterAutospacing="1" w:line="240" w:lineRule="auto"/>
        <w:rPr>
          <w:rFonts w:ascii="Calibri" w:eastAsia="Times New Roman" w:hAnsi="Calibri" w:cs="Calibri"/>
          <w:b/>
          <w:bCs/>
          <w:kern w:val="0"/>
          <w:sz w:val="22"/>
          <w:szCs w:val="22"/>
          <w14:ligatures w14:val="none"/>
        </w:rPr>
      </w:pPr>
    </w:p>
    <w:p w14:paraId="745240B2" w14:textId="41568822" w:rsidR="00373F21" w:rsidRPr="00C51E75" w:rsidRDefault="00373F21" w:rsidP="00373F21">
      <w:pPr>
        <w:spacing w:before="100" w:beforeAutospacing="1" w:after="100" w:afterAutospacing="1" w:line="240" w:lineRule="auto"/>
        <w:rPr>
          <w:rFonts w:ascii="Calibri" w:eastAsia="Times New Roman" w:hAnsi="Calibri" w:cs="Calibri"/>
          <w:kern w:val="0"/>
          <w:sz w:val="22"/>
          <w:szCs w:val="22"/>
          <w14:ligatures w14:val="none"/>
        </w:rPr>
      </w:pPr>
      <w:r w:rsidRPr="00C51E75">
        <w:rPr>
          <w:rFonts w:ascii="Calibri" w:eastAsia="Times New Roman" w:hAnsi="Calibri" w:cs="Calibri"/>
          <w:b/>
          <w:bCs/>
          <w:kern w:val="0"/>
          <w:sz w:val="22"/>
          <w:szCs w:val="22"/>
          <w14:ligatures w14:val="none"/>
        </w:rPr>
        <w:lastRenderedPageBreak/>
        <w:t>Tantalum Defense Technologies</w:t>
      </w:r>
      <w:r w:rsidRPr="00C51E75">
        <w:rPr>
          <w:rFonts w:ascii="Calibri" w:eastAsia="Times New Roman" w:hAnsi="Calibri" w:cs="Calibri"/>
          <w:kern w:val="0"/>
          <w:sz w:val="22"/>
          <w:szCs w:val="22"/>
          <w14:ligatures w14:val="none"/>
        </w:rPr>
        <w:br/>
      </w:r>
      <w:r w:rsidRPr="00C51E75">
        <w:rPr>
          <w:rFonts w:ascii="Calibri" w:eastAsia="Times New Roman" w:hAnsi="Calibri" w:cs="Calibri"/>
          <w:b/>
          <w:bCs/>
          <w:kern w:val="0"/>
          <w:sz w:val="22"/>
          <w:szCs w:val="22"/>
          <w14:ligatures w14:val="none"/>
        </w:rPr>
        <w:t>Senior Executive Report: The Necessity of an Internal DFIR Team</w:t>
      </w:r>
      <w:r w:rsidRPr="00C51E75">
        <w:rPr>
          <w:rFonts w:ascii="Calibri" w:eastAsia="Times New Roman" w:hAnsi="Calibri" w:cs="Calibri"/>
          <w:kern w:val="0"/>
          <w:sz w:val="22"/>
          <w:szCs w:val="22"/>
          <w14:ligatures w14:val="none"/>
        </w:rPr>
        <w:br/>
      </w:r>
      <w:r w:rsidRPr="00C51E75">
        <w:rPr>
          <w:rFonts w:ascii="Calibri" w:eastAsia="Times New Roman" w:hAnsi="Calibri" w:cs="Calibri"/>
          <w:b/>
          <w:bCs/>
          <w:kern w:val="0"/>
          <w:sz w:val="22"/>
          <w:szCs w:val="22"/>
          <w14:ligatures w14:val="none"/>
        </w:rPr>
        <w:t xml:space="preserve">Prepared </w:t>
      </w:r>
      <w:r w:rsidRPr="00373F21">
        <w:rPr>
          <w:rFonts w:ascii="Calibri" w:eastAsia="Times New Roman" w:hAnsi="Calibri" w:cs="Calibri"/>
          <w:b/>
          <w:bCs/>
          <w:kern w:val="0"/>
          <w:sz w:val="22"/>
          <w:szCs w:val="22"/>
          <w14:ligatures w14:val="none"/>
        </w:rPr>
        <w:t>By</w:t>
      </w:r>
      <w:r w:rsidRPr="00C51E75">
        <w:rPr>
          <w:rFonts w:ascii="Calibri" w:eastAsia="Times New Roman" w:hAnsi="Calibri" w:cs="Calibri"/>
          <w:b/>
          <w:bCs/>
          <w:kern w:val="0"/>
          <w:sz w:val="22"/>
          <w:szCs w:val="22"/>
          <w14:ligatures w14:val="none"/>
        </w:rPr>
        <w:t>: CISO</w:t>
      </w:r>
      <w:r w:rsidRPr="00C51E75">
        <w:rPr>
          <w:rFonts w:ascii="Calibri" w:eastAsia="Times New Roman" w:hAnsi="Calibri" w:cs="Calibri"/>
          <w:kern w:val="0"/>
          <w:sz w:val="22"/>
          <w:szCs w:val="22"/>
          <w14:ligatures w14:val="none"/>
        </w:rPr>
        <w:br/>
      </w:r>
      <w:r w:rsidRPr="00C51E75">
        <w:rPr>
          <w:rFonts w:ascii="Calibri" w:eastAsia="Times New Roman" w:hAnsi="Calibri" w:cs="Calibri"/>
          <w:b/>
          <w:bCs/>
          <w:kern w:val="0"/>
          <w:sz w:val="22"/>
          <w:szCs w:val="22"/>
          <w14:ligatures w14:val="none"/>
        </w:rPr>
        <w:t xml:space="preserve">Date: </w:t>
      </w:r>
      <w:r w:rsidRPr="00373F21">
        <w:rPr>
          <w:rFonts w:ascii="Calibri" w:eastAsia="Times New Roman" w:hAnsi="Calibri" w:cs="Calibri"/>
          <w:b/>
          <w:bCs/>
          <w:kern w:val="0"/>
          <w:sz w:val="22"/>
          <w:szCs w:val="22"/>
          <w14:ligatures w14:val="none"/>
        </w:rPr>
        <w:t>2025-03-04</w:t>
      </w:r>
    </w:p>
    <w:p w14:paraId="1288DB7C" w14:textId="77777777" w:rsidR="00373F21" w:rsidRPr="00373F21" w:rsidRDefault="00373F21" w:rsidP="00373F21">
      <w:pPr>
        <w:rPr>
          <w:rFonts w:ascii="Calibri" w:hAnsi="Calibri" w:cs="Calibri"/>
          <w:b/>
          <w:bCs/>
          <w:sz w:val="22"/>
          <w:szCs w:val="22"/>
        </w:rPr>
      </w:pPr>
      <w:r w:rsidRPr="00240C76">
        <w:rPr>
          <w:rFonts w:ascii="Calibri" w:hAnsi="Calibri" w:cs="Calibri"/>
          <w:b/>
          <w:bCs/>
          <w:sz w:val="22"/>
          <w:szCs w:val="22"/>
        </w:rPr>
        <w:t>Executive Summary</w:t>
      </w:r>
    </w:p>
    <w:p w14:paraId="2758F067" w14:textId="536C7781" w:rsidR="00373F21" w:rsidRPr="00373F21" w:rsidRDefault="00373F21" w:rsidP="00373F21">
      <w:pPr>
        <w:spacing w:line="480" w:lineRule="auto"/>
        <w:rPr>
          <w:rFonts w:ascii="Calibri" w:hAnsi="Calibri" w:cs="Calibri"/>
          <w:sz w:val="22"/>
          <w:szCs w:val="22"/>
        </w:rPr>
      </w:pPr>
      <w:r w:rsidRPr="00240C76">
        <w:rPr>
          <w:rFonts w:ascii="Calibri" w:hAnsi="Calibri" w:cs="Calibri"/>
          <w:sz w:val="22"/>
          <w:szCs w:val="22"/>
        </w:rPr>
        <w:t xml:space="preserve"> Tantalum Defense Technologies provides cloud services for tactical networks to the Department of Defense (DoD). Given the ever-growing cybersecurity threats, the company is at risk of sophisticated cyberattacks that could disrupt operations, compromise sensitive data, and weaken national security. This report evaluates the need for an internal Digital Forensics and Incident Response (DFIR) team, detailing potential threats, business impacts, and cost considerations. A DFIR team will provide rapid response capabilities, minimize disruptions, and ensure compliance with DoD cybersecurity regulations.</w:t>
      </w:r>
      <w:r w:rsidRPr="00373F21">
        <w:rPr>
          <w:rFonts w:ascii="Calibri" w:hAnsi="Calibri" w:cs="Calibri"/>
          <w:sz w:val="22"/>
          <w:szCs w:val="22"/>
        </w:rPr>
        <w:t xml:space="preserve"> </w:t>
      </w:r>
      <w:r w:rsidRPr="00240C76">
        <w:rPr>
          <w:rFonts w:ascii="Calibri" w:hAnsi="Calibri" w:cs="Calibri"/>
          <w:sz w:val="22"/>
          <w:szCs w:val="22"/>
        </w:rPr>
        <w:t>A cybersecurity breach or malware attack could lead to significant financial losses, regulatory penalties, and reputational damage. The DFIR team will be responsible for identifying, containing, mitigating, and recovering from security incidents efficiently. This report also examines past industry breaches to highlight the importance of proactive security measures. Additionally, it provides an in-depth business impact analysis, assesses potential costs, and outlines necessary regulatory compliance standards.</w:t>
      </w:r>
    </w:p>
    <w:p w14:paraId="1A0B566B" w14:textId="77777777" w:rsidR="00373F21" w:rsidRPr="00240C76" w:rsidRDefault="00373F21" w:rsidP="00373F21">
      <w:pPr>
        <w:rPr>
          <w:rFonts w:ascii="Calibri" w:hAnsi="Calibri" w:cs="Calibri"/>
          <w:b/>
          <w:bCs/>
          <w:sz w:val="22"/>
          <w:szCs w:val="22"/>
        </w:rPr>
      </w:pPr>
      <w:r w:rsidRPr="00240C76">
        <w:rPr>
          <w:rFonts w:ascii="Calibri" w:hAnsi="Calibri" w:cs="Calibri"/>
          <w:b/>
          <w:bCs/>
          <w:sz w:val="22"/>
          <w:szCs w:val="22"/>
        </w:rPr>
        <w:t>Current Threat Landscape</w:t>
      </w:r>
    </w:p>
    <w:p w14:paraId="3FFF06C9" w14:textId="77777777" w:rsidR="00373F21" w:rsidRPr="00240C76" w:rsidRDefault="00373F21" w:rsidP="00EE4827">
      <w:pPr>
        <w:spacing w:line="480" w:lineRule="auto"/>
        <w:rPr>
          <w:rFonts w:ascii="Calibri" w:hAnsi="Calibri" w:cs="Calibri"/>
          <w:sz w:val="22"/>
          <w:szCs w:val="22"/>
        </w:rPr>
      </w:pPr>
      <w:r w:rsidRPr="00240C76">
        <w:rPr>
          <w:rFonts w:ascii="Calibri" w:hAnsi="Calibri" w:cs="Calibri"/>
          <w:sz w:val="22"/>
          <w:szCs w:val="22"/>
        </w:rPr>
        <w:t>The defense industry is a prime target for nation-state actors, cybercriminals, and insider threats. Attack vectors include ransomware, supply chain attacks, insider threats, and advanced persistent threats (APTs). With increased reliance on cloud-based infrastructure, vulnerabilities in cloud services present a major concern.</w:t>
      </w:r>
    </w:p>
    <w:p w14:paraId="35B42489" w14:textId="77777777" w:rsidR="00373F21" w:rsidRPr="00240C76" w:rsidRDefault="00373F21" w:rsidP="00373F21">
      <w:pPr>
        <w:rPr>
          <w:rFonts w:ascii="Calibri" w:hAnsi="Calibri" w:cs="Calibri"/>
          <w:b/>
          <w:bCs/>
          <w:sz w:val="22"/>
          <w:szCs w:val="22"/>
        </w:rPr>
      </w:pPr>
      <w:r w:rsidRPr="00240C76">
        <w:rPr>
          <w:rFonts w:ascii="Calibri" w:hAnsi="Calibri" w:cs="Calibri"/>
          <w:b/>
          <w:bCs/>
          <w:sz w:val="22"/>
          <w:szCs w:val="22"/>
        </w:rPr>
        <w:t>Key Threats in the Defense Sector</w:t>
      </w:r>
    </w:p>
    <w:p w14:paraId="5AEA7B9A"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Ransomware Attacks:</w:t>
      </w:r>
    </w:p>
    <w:p w14:paraId="7094A8FF" w14:textId="77777777" w:rsidR="00373F21"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 xml:space="preserve">If Tantalum Defense Technologies falls victim to a ransomware attack, adversaries could encrypt critical cloud-based tactical network services, making them inaccessible to DoD operations. The exposure of classified DoD communications due to double-extortion tactics would severely damage the company’s </w:t>
      </w:r>
      <w:r w:rsidRPr="00373F21">
        <w:rPr>
          <w:rFonts w:ascii="Calibri" w:hAnsi="Calibri" w:cs="Calibri"/>
          <w:sz w:val="22"/>
          <w:szCs w:val="22"/>
        </w:rPr>
        <w:lastRenderedPageBreak/>
        <w:t>reputation and may result in contract termination. Incident response costs could exceed millions, impacting financial stability.</w:t>
      </w:r>
    </w:p>
    <w:p w14:paraId="1224279D"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Supply Chain Compromise:</w:t>
      </w:r>
    </w:p>
    <w:p w14:paraId="101077F2" w14:textId="77777777" w:rsidR="00373F21"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As a cloud service provider, Tantalum Defense Technologies integrates multiple third-party vendors. A supply chain compromise at any level could serve as an entry point for adversaries to access DoD networks. A compromised vendor update could result in backdoors within mission-critical cloud systems, allowing unauthorized data exfiltration. Such an event would result in a loss of trust from the DoD, requiring extensive remediation efforts and compliance audits.</w:t>
      </w:r>
    </w:p>
    <w:p w14:paraId="62D64472"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Insider Threats:</w:t>
      </w:r>
    </w:p>
    <w:p w14:paraId="510CB8D5" w14:textId="77777777" w:rsidR="00373F21"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Malicious insiders or negligent employees at Tantalum Defense Technologies could expose sensitive data related to DoD operations. A disgruntled employee with privileged access could intentionally sabotage cloud infrastructure, leading to downtime in tactical network communications. To mitigate this risk, implementing behavioral analytics and strict access control policies is essential.</w:t>
      </w:r>
    </w:p>
    <w:p w14:paraId="701BA109"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Advanced Persistent Threats (APTs):</w:t>
      </w:r>
    </w:p>
    <w:p w14:paraId="6EFDD86B" w14:textId="77777777" w:rsidR="00373F21"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Nation-state-backed APT groups may target Tantalum Defense Technologies to gain long-term, persistent access to DoD cloud services. If an APT gain a foothold in the infrastructure, it could conduct prolonged espionage, siphoning critical DoD intelligence.</w:t>
      </w:r>
    </w:p>
    <w:p w14:paraId="1B646E58" w14:textId="77777777" w:rsidR="00373F21" w:rsidRPr="00373F21" w:rsidRDefault="00373F21" w:rsidP="00373F21">
      <w:pPr>
        <w:spacing w:line="480" w:lineRule="auto"/>
        <w:rPr>
          <w:rFonts w:ascii="Calibri" w:hAnsi="Calibri" w:cs="Calibri"/>
          <w:sz w:val="22"/>
          <w:szCs w:val="22"/>
        </w:rPr>
      </w:pPr>
      <w:r w:rsidRPr="00373F21">
        <w:rPr>
          <w:rFonts w:ascii="Calibri" w:hAnsi="Calibri" w:cs="Calibri"/>
          <w:sz w:val="22"/>
          <w:szCs w:val="22"/>
        </w:rPr>
        <w:t>APTs often go undetected for months, making rapid forensic analysis and incident response crucial to limiting damage.</w:t>
      </w:r>
    </w:p>
    <w:p w14:paraId="76E9E7FA"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Zero-Day Exploits:</w:t>
      </w:r>
    </w:p>
    <w:p w14:paraId="06756300" w14:textId="77777777" w:rsidR="00373F21"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 xml:space="preserve">Tantalum Defense Technologies operates cloud environments that may contain undiscovered vulnerabilities. If adversaries exploit a zero-day vulnerability, they could compromise the entire cloud infrastructure. A zero-day exploit could lead to the deployment of rootkits or malware that persist within </w:t>
      </w:r>
      <w:r w:rsidRPr="00373F21">
        <w:rPr>
          <w:rFonts w:ascii="Calibri" w:hAnsi="Calibri" w:cs="Calibri"/>
          <w:sz w:val="22"/>
          <w:szCs w:val="22"/>
        </w:rPr>
        <w:lastRenderedPageBreak/>
        <w:t>cloud systems, making remediation challenging. Proactive threat hunting and collaboration with security researchers are necessary to minimize risks.</w:t>
      </w:r>
    </w:p>
    <w:p w14:paraId="6063B02B"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Cloud Infrastructure Vulnerabilities:</w:t>
      </w:r>
    </w:p>
    <w:p w14:paraId="6B6A5229" w14:textId="77777777" w:rsidR="00373F21"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If Tantalum Defense Technologies' cloud systems are misconfigured, adversaries may gain unauthorized access to classified DoD data. Poorly implemented identity and access management (IAM) policies could allow attackers to escalate privileges and control mission-critical environments. Secure access service edge (SASE) solutions and Zero Trust security frameworks should be prioritized to mitigate these risks.</w:t>
      </w:r>
    </w:p>
    <w:p w14:paraId="68DEE85A" w14:textId="77777777" w:rsidR="00373F21" w:rsidRPr="00373F21" w:rsidRDefault="00373F21" w:rsidP="00373F21">
      <w:pPr>
        <w:rPr>
          <w:rFonts w:ascii="Calibri" w:hAnsi="Calibri" w:cs="Calibri"/>
          <w:sz w:val="22"/>
          <w:szCs w:val="22"/>
          <w:u w:val="single"/>
        </w:rPr>
      </w:pPr>
      <w:r w:rsidRPr="00373F21">
        <w:rPr>
          <w:rFonts w:ascii="Calibri" w:hAnsi="Calibri" w:cs="Calibri"/>
          <w:sz w:val="22"/>
          <w:szCs w:val="22"/>
          <w:u w:val="single"/>
        </w:rPr>
        <w:t>Distributed Denial-of-Service (DDoS) Attacks:</w:t>
      </w:r>
    </w:p>
    <w:p w14:paraId="1429F07E" w14:textId="6F07042F" w:rsidR="00F82284" w:rsidRPr="00373F21" w:rsidRDefault="00373F21" w:rsidP="00EE4827">
      <w:pPr>
        <w:spacing w:line="480" w:lineRule="auto"/>
        <w:rPr>
          <w:rFonts w:ascii="Calibri" w:hAnsi="Calibri" w:cs="Calibri"/>
          <w:sz w:val="22"/>
          <w:szCs w:val="22"/>
        </w:rPr>
      </w:pPr>
      <w:r w:rsidRPr="00373F21">
        <w:rPr>
          <w:rFonts w:ascii="Calibri" w:hAnsi="Calibri" w:cs="Calibri"/>
          <w:sz w:val="22"/>
          <w:szCs w:val="22"/>
        </w:rPr>
        <w:t>A well-orchestrated DDoS attack against Tantalum Defense Technologies could cripple cloud-based DoD communication systems. Given the real-time nature of tactical networks, a DDoS-induced service outage would severely impact military operations. Cloud-based DDoS mitigation services must be implemented to ensure service availability under attack conditions.</w:t>
      </w:r>
      <w:r w:rsidR="00EC28F4">
        <w:rPr>
          <w:rFonts w:ascii="Calibri" w:hAnsi="Calibri" w:cs="Calibri"/>
          <w:sz w:val="22"/>
          <w:szCs w:val="22"/>
        </w:rPr>
        <w:t xml:space="preserve"> </w:t>
      </w:r>
      <w:r w:rsidR="00F82284" w:rsidRPr="00373F21">
        <w:rPr>
          <w:rFonts w:ascii="Calibri" w:hAnsi="Calibri" w:cs="Calibri"/>
          <w:sz w:val="22"/>
          <w:szCs w:val="22"/>
        </w:rPr>
        <w:t>Employees at Tantalum Defense Technologies may fall victim to spear-phishing campaigns designed to steal credentials.</w:t>
      </w:r>
      <w:r w:rsidR="008F551D" w:rsidRPr="00373F21">
        <w:rPr>
          <w:rFonts w:ascii="Calibri" w:hAnsi="Calibri" w:cs="Calibri"/>
          <w:sz w:val="22"/>
          <w:szCs w:val="22"/>
        </w:rPr>
        <w:t xml:space="preserve"> </w:t>
      </w:r>
      <w:r w:rsidR="00F82284" w:rsidRPr="00373F21">
        <w:rPr>
          <w:rFonts w:ascii="Calibri" w:hAnsi="Calibri" w:cs="Calibri"/>
          <w:sz w:val="22"/>
          <w:szCs w:val="22"/>
        </w:rPr>
        <w:t>Attackers impersonating DoD officials could manipulate employees into divulging sensitive cloud system access credentials.</w:t>
      </w:r>
      <w:r w:rsidR="008F551D" w:rsidRPr="00373F21">
        <w:rPr>
          <w:rFonts w:ascii="Calibri" w:hAnsi="Calibri" w:cs="Calibri"/>
          <w:sz w:val="22"/>
          <w:szCs w:val="22"/>
        </w:rPr>
        <w:t xml:space="preserve"> </w:t>
      </w:r>
      <w:r w:rsidR="00F82284" w:rsidRPr="00373F21">
        <w:rPr>
          <w:rFonts w:ascii="Calibri" w:hAnsi="Calibri" w:cs="Calibri"/>
          <w:sz w:val="22"/>
          <w:szCs w:val="22"/>
        </w:rPr>
        <w:t>Mandatory security awareness training and phishing simulations are essential to reducing human error vulnerabilities.</w:t>
      </w:r>
    </w:p>
    <w:p w14:paraId="1E14C041" w14:textId="77777777" w:rsidR="00240C76" w:rsidRPr="00240C76" w:rsidRDefault="00240C76" w:rsidP="00240C76">
      <w:pPr>
        <w:rPr>
          <w:rFonts w:ascii="Calibri" w:hAnsi="Calibri" w:cs="Calibri"/>
          <w:b/>
          <w:bCs/>
          <w:sz w:val="22"/>
          <w:szCs w:val="22"/>
        </w:rPr>
      </w:pPr>
      <w:r w:rsidRPr="00240C76">
        <w:rPr>
          <w:rFonts w:ascii="Calibri" w:hAnsi="Calibri" w:cs="Calibri"/>
          <w:b/>
          <w:bCs/>
          <w:sz w:val="22"/>
          <w:szCs w:val="22"/>
        </w:rPr>
        <w:t>Notable Breaches in the Defense Industry</w:t>
      </w:r>
    </w:p>
    <w:p w14:paraId="4639375F" w14:textId="728725D4" w:rsidR="001306CD" w:rsidRPr="001306CD" w:rsidRDefault="001306CD" w:rsidP="001306CD">
      <w:pPr>
        <w:rPr>
          <w:rFonts w:ascii="Calibri" w:hAnsi="Calibri" w:cs="Calibri"/>
          <w:sz w:val="22"/>
          <w:szCs w:val="22"/>
          <w:u w:val="single"/>
        </w:rPr>
      </w:pPr>
      <w:r w:rsidRPr="001306CD">
        <w:rPr>
          <w:rFonts w:ascii="Calibri" w:hAnsi="Calibri" w:cs="Calibri"/>
          <w:sz w:val="22"/>
          <w:szCs w:val="22"/>
          <w:u w:val="single"/>
        </w:rPr>
        <w:t>SolarWinds Breach</w:t>
      </w:r>
    </w:p>
    <w:p w14:paraId="1C0E1AB8" w14:textId="77777777" w:rsidR="001306CD" w:rsidRPr="001306CD" w:rsidRDefault="001306CD" w:rsidP="00EE4827">
      <w:pPr>
        <w:spacing w:line="480" w:lineRule="auto"/>
        <w:rPr>
          <w:rFonts w:ascii="Calibri" w:hAnsi="Calibri" w:cs="Calibri"/>
          <w:sz w:val="22"/>
          <w:szCs w:val="22"/>
        </w:rPr>
      </w:pPr>
      <w:r w:rsidRPr="001306CD">
        <w:rPr>
          <w:rFonts w:ascii="Calibri" w:hAnsi="Calibri" w:cs="Calibri"/>
          <w:sz w:val="22"/>
          <w:szCs w:val="22"/>
        </w:rPr>
        <w:t>The SolarWinds cyberattack was one of the most sophisticated and damaging supply chain attacks in history. Attackers, believed to be affiliated with a nation-state, inserted malicious code into updates of the widely used SolarWinds Orion software. This malicious update was distributed to thousands of organizations, including government agencies and defense contractors, providing attackers with unauthorized access to sensitive networks. Once inside, the threat actors remained undetected for months, exfiltrating critical data and establishing persistent access.</w:t>
      </w:r>
    </w:p>
    <w:p w14:paraId="6423CB33" w14:textId="77777777" w:rsidR="001306CD" w:rsidRPr="001306CD" w:rsidRDefault="001306CD" w:rsidP="00D2197E">
      <w:pPr>
        <w:spacing w:line="480" w:lineRule="auto"/>
        <w:rPr>
          <w:rFonts w:ascii="Calibri" w:hAnsi="Calibri" w:cs="Calibri"/>
          <w:sz w:val="22"/>
          <w:szCs w:val="22"/>
        </w:rPr>
      </w:pPr>
      <w:r w:rsidRPr="001306CD">
        <w:rPr>
          <w:rFonts w:ascii="Calibri" w:hAnsi="Calibri" w:cs="Calibri"/>
          <w:sz w:val="22"/>
          <w:szCs w:val="22"/>
        </w:rPr>
        <w:lastRenderedPageBreak/>
        <w:t>The attack had far-reaching consequences, affecting not only private companies but also critical U.S. government agencies, including the Department of Defense and Department of Homeland Security. The breach highlighted vulnerabilities in the software supply chain, demonstrating how a single compromised vendor could be leveraged to infiltrate multiple high-value targets. For Tantalum Defense Technologies, a similar attack on one of its third-party providers could have catastrophic consequences, leading to unauthorized access to DoD cloud environments, data exfiltration, and service disruptions. Implementing stronger vendor risk management and threat intelligence sharing would be critical in mitigating such risks.</w:t>
      </w:r>
    </w:p>
    <w:p w14:paraId="4C3752DF" w14:textId="219218CF" w:rsidR="001306CD" w:rsidRPr="001306CD" w:rsidRDefault="001306CD" w:rsidP="001306CD">
      <w:pPr>
        <w:rPr>
          <w:rFonts w:ascii="Calibri" w:hAnsi="Calibri" w:cs="Calibri"/>
          <w:sz w:val="22"/>
          <w:szCs w:val="22"/>
          <w:u w:val="single"/>
        </w:rPr>
      </w:pPr>
      <w:r w:rsidRPr="001306CD">
        <w:rPr>
          <w:rFonts w:ascii="Calibri" w:hAnsi="Calibri" w:cs="Calibri"/>
          <w:sz w:val="22"/>
          <w:szCs w:val="22"/>
          <w:u w:val="single"/>
        </w:rPr>
        <w:t>Lockheed Martin Cyber Attack (2011)</w:t>
      </w:r>
    </w:p>
    <w:p w14:paraId="01730BB5" w14:textId="0C553B3F" w:rsidR="001306CD" w:rsidRPr="001306CD" w:rsidRDefault="001306CD" w:rsidP="00EE4827">
      <w:pPr>
        <w:spacing w:line="480" w:lineRule="auto"/>
        <w:rPr>
          <w:rFonts w:ascii="Calibri" w:hAnsi="Calibri" w:cs="Calibri"/>
          <w:sz w:val="22"/>
          <w:szCs w:val="22"/>
        </w:rPr>
      </w:pPr>
      <w:r w:rsidRPr="001306CD">
        <w:rPr>
          <w:rFonts w:ascii="Calibri" w:hAnsi="Calibri" w:cs="Calibri"/>
          <w:sz w:val="22"/>
          <w:szCs w:val="22"/>
        </w:rPr>
        <w:t xml:space="preserve">In 2011, Lockheed Martin, one of the largest defense contractors in the world, was targeted in a cyberattack involving the compromise of RSA SecurID tokens. Attackers first breached RSA, the security company responsible for providing authentication systems to defense </w:t>
      </w:r>
      <w:r w:rsidR="00D24B31" w:rsidRPr="00373F21">
        <w:rPr>
          <w:rFonts w:ascii="Calibri" w:hAnsi="Calibri" w:cs="Calibri"/>
          <w:sz w:val="22"/>
          <w:szCs w:val="22"/>
        </w:rPr>
        <w:t>firms and</w:t>
      </w:r>
      <w:r w:rsidRPr="001306CD">
        <w:rPr>
          <w:rFonts w:ascii="Calibri" w:hAnsi="Calibri" w:cs="Calibri"/>
          <w:sz w:val="22"/>
          <w:szCs w:val="22"/>
        </w:rPr>
        <w:t xml:space="preserve"> stole confidential encryption keys associated with SecurID tokens. Using this information, they launched a targeted attack against Lockheed Martin’s network, attempting to bypass multi-factor authentication (MFA) mechanisms.</w:t>
      </w:r>
    </w:p>
    <w:p w14:paraId="3594D84D" w14:textId="77777777" w:rsidR="001306CD" w:rsidRPr="001306CD" w:rsidRDefault="001306CD" w:rsidP="00EE4827">
      <w:pPr>
        <w:spacing w:line="480" w:lineRule="auto"/>
        <w:rPr>
          <w:rFonts w:ascii="Calibri" w:hAnsi="Calibri" w:cs="Calibri"/>
          <w:sz w:val="22"/>
          <w:szCs w:val="22"/>
        </w:rPr>
      </w:pPr>
      <w:r w:rsidRPr="001306CD">
        <w:rPr>
          <w:rFonts w:ascii="Calibri" w:hAnsi="Calibri" w:cs="Calibri"/>
          <w:sz w:val="22"/>
          <w:szCs w:val="22"/>
        </w:rPr>
        <w:t>Although Lockheed Martin detected and mitigated the attack before significant data loss occurred, the breach underscored the vulnerabilities in widely used authentication systems. The attack prompted major changes in how defense contractors approached identity and access management, leading to increased adoption of stronger cryptographic authentication methods. For Tantalum Defense Technologies, an attack of this nature could compromise cloud-based authentication systems, allowing unauthorized users to access classified DoD resources. Strengthening identity security, implementing hardware security modules (HSMs), and enforcing continuous authentication are necessary steps to prevent similar incidents.</w:t>
      </w:r>
    </w:p>
    <w:p w14:paraId="2A3AC8A2" w14:textId="41005C41" w:rsidR="001306CD" w:rsidRPr="001306CD" w:rsidRDefault="001306CD" w:rsidP="001306CD">
      <w:pPr>
        <w:rPr>
          <w:rFonts w:ascii="Calibri" w:hAnsi="Calibri" w:cs="Calibri"/>
          <w:sz w:val="22"/>
          <w:szCs w:val="22"/>
          <w:u w:val="single"/>
        </w:rPr>
      </w:pPr>
      <w:r w:rsidRPr="001306CD">
        <w:rPr>
          <w:rFonts w:ascii="Calibri" w:hAnsi="Calibri" w:cs="Calibri"/>
          <w:sz w:val="22"/>
          <w:szCs w:val="22"/>
          <w:u w:val="single"/>
        </w:rPr>
        <w:lastRenderedPageBreak/>
        <w:t>Boeing Ransomware Attack (2018)</w:t>
      </w:r>
    </w:p>
    <w:p w14:paraId="2C2FB8CF" w14:textId="5E11B046" w:rsidR="001306CD" w:rsidRPr="001306CD" w:rsidRDefault="00D24B31" w:rsidP="00EE4827">
      <w:pPr>
        <w:spacing w:line="480" w:lineRule="auto"/>
        <w:rPr>
          <w:rFonts w:ascii="Calibri" w:hAnsi="Calibri" w:cs="Calibri"/>
          <w:sz w:val="22"/>
          <w:szCs w:val="22"/>
        </w:rPr>
      </w:pPr>
      <w:r w:rsidRPr="00373F21">
        <w:rPr>
          <w:rFonts w:ascii="Calibri" w:hAnsi="Calibri" w:cs="Calibri"/>
          <w:sz w:val="22"/>
          <w:szCs w:val="22"/>
        </w:rPr>
        <w:t>In 2018, a ransomware attack briefly halted Boeing's manufacturing operation.</w:t>
      </w:r>
      <w:r w:rsidR="001306CD" w:rsidRPr="001306CD">
        <w:rPr>
          <w:rFonts w:ascii="Calibri" w:hAnsi="Calibri" w:cs="Calibri"/>
          <w:sz w:val="22"/>
          <w:szCs w:val="22"/>
        </w:rPr>
        <w:t xml:space="preserve"> The attack was attributed to the WannaCry ransomware variant, which exploited a known vulnerability in Microsoft Windows operating systems. While the attack did not cause significant operational damage, it highlighted the persistent risks posed by ransomware, particularly in critical industries such as aerospace and defense.</w:t>
      </w:r>
    </w:p>
    <w:p w14:paraId="3DD19B64" w14:textId="77777777" w:rsidR="001306CD" w:rsidRPr="00373F21" w:rsidRDefault="001306CD" w:rsidP="00D2197E">
      <w:pPr>
        <w:spacing w:line="480" w:lineRule="auto"/>
        <w:rPr>
          <w:rFonts w:ascii="Calibri" w:hAnsi="Calibri" w:cs="Calibri"/>
          <w:sz w:val="22"/>
          <w:szCs w:val="22"/>
        </w:rPr>
      </w:pPr>
      <w:r w:rsidRPr="001306CD">
        <w:rPr>
          <w:rFonts w:ascii="Calibri" w:hAnsi="Calibri" w:cs="Calibri"/>
          <w:sz w:val="22"/>
          <w:szCs w:val="22"/>
        </w:rPr>
        <w:t>Ransomware attacks have evolved in sophistication since the Boeing incident, with modern variants incorporating double extortion tactics—where attackers not only encrypt data but also threaten to leak sensitive information. If Tantalum Defense Technologies were targeted by ransomware, it could lead to downtime in cloud-based DoD communications systems, the exposure of classified data, and potential regulatory penalties. The company must implement proactive measures such as network segmentation, continuous backups, and endpoint detection and response (EDR) solutions to prevent and mitigate ransomware threats.</w:t>
      </w:r>
    </w:p>
    <w:p w14:paraId="378BB838" w14:textId="7BA494F8" w:rsidR="000C19B4" w:rsidRPr="00373F21" w:rsidRDefault="000C19B4" w:rsidP="000C19B4">
      <w:pPr>
        <w:spacing w:line="480" w:lineRule="auto"/>
        <w:rPr>
          <w:rFonts w:ascii="Calibri" w:hAnsi="Calibri" w:cs="Calibri"/>
          <w:sz w:val="22"/>
          <w:szCs w:val="22"/>
        </w:rPr>
      </w:pPr>
      <w:r w:rsidRPr="00373F21">
        <w:rPr>
          <w:rFonts w:ascii="Calibri" w:hAnsi="Calibri" w:cs="Calibri"/>
          <w:sz w:val="22"/>
          <w:szCs w:val="22"/>
        </w:rPr>
        <w:t>These</w:t>
      </w:r>
      <w:r w:rsidRPr="000C19B4">
        <w:rPr>
          <w:rFonts w:ascii="Calibri" w:hAnsi="Calibri" w:cs="Calibri"/>
          <w:sz w:val="22"/>
          <w:szCs w:val="22"/>
        </w:rPr>
        <w:t xml:space="preserve"> case studies </w:t>
      </w:r>
      <w:r w:rsidR="00D24B31" w:rsidRPr="00373F21">
        <w:rPr>
          <w:rFonts w:ascii="Calibri" w:hAnsi="Calibri" w:cs="Calibri"/>
          <w:sz w:val="22"/>
          <w:szCs w:val="22"/>
        </w:rPr>
        <w:t>illustrate</w:t>
      </w:r>
      <w:r w:rsidRPr="000C19B4">
        <w:rPr>
          <w:rFonts w:ascii="Calibri" w:hAnsi="Calibri" w:cs="Calibri"/>
          <w:sz w:val="22"/>
          <w:szCs w:val="22"/>
        </w:rPr>
        <w:t xml:space="preserve"> the potential consequences of cybersecurity incidents for Tantalum Defense Technologies. Each breach provides valuable lessons on the importance of vendor security, authentication integrity, and ransomware resilience. By learning from past incidents and strengthening internal security capabilities, Tantalum Defense Technologies can better protect its DoD cloud services and maintain operational readiness in the face of evolving cyber threats.</w:t>
      </w:r>
      <w:r w:rsidR="00456128" w:rsidRPr="00373F21">
        <w:rPr>
          <w:rFonts w:ascii="Calibri" w:hAnsi="Calibri" w:cs="Calibri"/>
          <w:sz w:val="22"/>
          <w:szCs w:val="22"/>
        </w:rPr>
        <w:t xml:space="preserve"> </w:t>
      </w:r>
    </w:p>
    <w:p w14:paraId="4C712DD0" w14:textId="77777777" w:rsidR="00FD5095" w:rsidRPr="00373F21" w:rsidRDefault="00FD5095" w:rsidP="00FD5095">
      <w:pPr>
        <w:spacing w:line="480" w:lineRule="auto"/>
        <w:rPr>
          <w:rFonts w:ascii="Calibri" w:hAnsi="Calibri" w:cs="Calibri"/>
          <w:b/>
          <w:bCs/>
          <w:sz w:val="22"/>
          <w:szCs w:val="22"/>
        </w:rPr>
      </w:pPr>
      <w:r w:rsidRPr="00FD5095">
        <w:rPr>
          <w:rFonts w:ascii="Calibri" w:hAnsi="Calibri" w:cs="Calibri"/>
          <w:b/>
          <w:bCs/>
          <w:sz w:val="22"/>
          <w:szCs w:val="22"/>
        </w:rPr>
        <w:t>Security Breach Scenario</w:t>
      </w:r>
    </w:p>
    <w:p w14:paraId="6FF33D0B" w14:textId="77777777" w:rsidR="00D42C86" w:rsidRPr="00D42C86" w:rsidRDefault="00D42C86" w:rsidP="004A0A2A">
      <w:pPr>
        <w:spacing w:line="480" w:lineRule="auto"/>
        <w:rPr>
          <w:rFonts w:ascii="Calibri" w:hAnsi="Calibri" w:cs="Calibri"/>
          <w:sz w:val="22"/>
          <w:szCs w:val="22"/>
        </w:rPr>
      </w:pPr>
      <w:r w:rsidRPr="00D42C86">
        <w:rPr>
          <w:rFonts w:ascii="Calibri" w:hAnsi="Calibri" w:cs="Calibri"/>
          <w:sz w:val="22"/>
          <w:szCs w:val="22"/>
        </w:rPr>
        <w:t>In this scenario, an advanced persistent threat (APT) group, likely backed by a nation-state, targets Tantalum Defense Technologies due to its role as a cloud service provider for the DoD. The attack begins with a sophisticated spear-phishing campaign aimed at senior executives and IT administrators, tricking them into downloading a malicious attachment. Once inside the network, the attackers use stolen credentials to move laterally, gaining unauthorized access to critical cloud systems.</w:t>
      </w:r>
    </w:p>
    <w:p w14:paraId="6179D20B" w14:textId="76FC5F88" w:rsidR="00D42C86" w:rsidRPr="00D42C86" w:rsidRDefault="008732A1" w:rsidP="004A0A2A">
      <w:pPr>
        <w:spacing w:line="480" w:lineRule="auto"/>
        <w:rPr>
          <w:rFonts w:ascii="Calibri" w:hAnsi="Calibri" w:cs="Calibri"/>
          <w:sz w:val="22"/>
          <w:szCs w:val="22"/>
        </w:rPr>
      </w:pPr>
      <w:r w:rsidRPr="00373F21">
        <w:rPr>
          <w:rFonts w:ascii="Calibri" w:hAnsi="Calibri" w:cs="Calibri"/>
          <w:sz w:val="22"/>
          <w:szCs w:val="22"/>
        </w:rPr>
        <w:lastRenderedPageBreak/>
        <w:t>After several weeks of covert activity, the threat actors successfully extracted classified data from the Department of Defense, encompassing operational plans and secure communication protocols.</w:t>
      </w:r>
      <w:r w:rsidR="00D42C86" w:rsidRPr="00D42C86">
        <w:rPr>
          <w:rFonts w:ascii="Calibri" w:hAnsi="Calibri" w:cs="Calibri"/>
          <w:sz w:val="22"/>
          <w:szCs w:val="22"/>
        </w:rPr>
        <w:t xml:space="preserve"> Simultaneously, they deploy ransomware across the organization’s cloud infrastructure, encrypting mission-critical data and disrupting key services, including tactical network communications. The attack is discovered only when DoD clients report service disruptions and classified information begins appearing on dark web forums.</w:t>
      </w:r>
    </w:p>
    <w:p w14:paraId="197BE45D" w14:textId="1277A87B" w:rsidR="00D42C86" w:rsidRPr="00D42C86" w:rsidRDefault="00D42C86" w:rsidP="004F7FC2">
      <w:pPr>
        <w:rPr>
          <w:rFonts w:ascii="Calibri" w:hAnsi="Calibri" w:cs="Calibri"/>
          <w:b/>
          <w:bCs/>
          <w:sz w:val="22"/>
          <w:szCs w:val="22"/>
        </w:rPr>
      </w:pPr>
      <w:r w:rsidRPr="00D42C86">
        <w:rPr>
          <w:rFonts w:ascii="Calibri" w:hAnsi="Calibri" w:cs="Calibri"/>
          <w:b/>
          <w:bCs/>
          <w:sz w:val="22"/>
          <w:szCs w:val="22"/>
        </w:rPr>
        <w:t>Effects and Damages of the Breach</w:t>
      </w:r>
      <w:r w:rsidR="001D13C5" w:rsidRPr="00776B97">
        <w:rPr>
          <w:rFonts w:ascii="Calibri" w:hAnsi="Calibri" w:cs="Calibri"/>
          <w:b/>
          <w:bCs/>
          <w:sz w:val="22"/>
          <w:szCs w:val="22"/>
        </w:rPr>
        <w:t>:</w:t>
      </w:r>
    </w:p>
    <w:p w14:paraId="40F47AA2" w14:textId="4A04700C" w:rsidR="00D42C86" w:rsidRPr="00D3148C" w:rsidRDefault="00EC3AE8" w:rsidP="00EC3AE8">
      <w:pPr>
        <w:rPr>
          <w:rFonts w:ascii="Calibri" w:hAnsi="Calibri" w:cs="Calibri"/>
          <w:sz w:val="22"/>
          <w:szCs w:val="22"/>
          <w:u w:val="single"/>
        </w:rPr>
      </w:pPr>
      <w:r w:rsidRPr="00D3148C">
        <w:rPr>
          <w:rFonts w:ascii="Calibri" w:hAnsi="Calibri" w:cs="Calibri"/>
          <w:sz w:val="22"/>
          <w:szCs w:val="22"/>
          <w:u w:val="single"/>
        </w:rPr>
        <w:t>1.</w:t>
      </w:r>
      <w:r w:rsidR="00D42C86" w:rsidRPr="00D3148C">
        <w:rPr>
          <w:rFonts w:ascii="Calibri" w:hAnsi="Calibri" w:cs="Calibri"/>
          <w:sz w:val="22"/>
          <w:szCs w:val="22"/>
          <w:u w:val="single"/>
        </w:rPr>
        <w:t>Operational Disruption:</w:t>
      </w:r>
    </w:p>
    <w:p w14:paraId="7E30448E" w14:textId="080C1EFE" w:rsidR="00D42C86" w:rsidRPr="00D42C86" w:rsidRDefault="00D42C86" w:rsidP="001D13C5">
      <w:pPr>
        <w:spacing w:line="480" w:lineRule="auto"/>
        <w:rPr>
          <w:rFonts w:ascii="Calibri" w:hAnsi="Calibri" w:cs="Calibri"/>
          <w:sz w:val="22"/>
          <w:szCs w:val="22"/>
        </w:rPr>
      </w:pPr>
      <w:r w:rsidRPr="00D42C86">
        <w:rPr>
          <w:rFonts w:ascii="Calibri" w:hAnsi="Calibri" w:cs="Calibri"/>
          <w:sz w:val="22"/>
          <w:szCs w:val="22"/>
        </w:rPr>
        <w:t>Tactical network communications for deployed military units are impacted, leading to delays in real-time intelligence sharing and mission execution.</w:t>
      </w:r>
      <w:r w:rsidR="001D13C5" w:rsidRPr="00373F21">
        <w:rPr>
          <w:rFonts w:ascii="Calibri" w:hAnsi="Calibri" w:cs="Calibri"/>
          <w:sz w:val="22"/>
          <w:szCs w:val="22"/>
        </w:rPr>
        <w:t xml:space="preserve"> </w:t>
      </w:r>
      <w:r w:rsidRPr="00D42C86">
        <w:rPr>
          <w:rFonts w:ascii="Calibri" w:hAnsi="Calibri" w:cs="Calibri"/>
          <w:sz w:val="22"/>
          <w:szCs w:val="22"/>
        </w:rPr>
        <w:t>Critical DoD applications hosted on Tantalum Defense Technologies’ cloud platform experience outages, requiring</w:t>
      </w:r>
      <w:r w:rsidR="001D13C5" w:rsidRPr="00373F21">
        <w:rPr>
          <w:rFonts w:ascii="Calibri" w:hAnsi="Calibri" w:cs="Calibri"/>
          <w:sz w:val="22"/>
          <w:szCs w:val="22"/>
        </w:rPr>
        <w:t xml:space="preserve"> </w:t>
      </w:r>
      <w:r w:rsidRPr="00D42C86">
        <w:rPr>
          <w:rFonts w:ascii="Calibri" w:hAnsi="Calibri" w:cs="Calibri"/>
          <w:sz w:val="22"/>
          <w:szCs w:val="22"/>
        </w:rPr>
        <w:t>emergency restoration efforts.</w:t>
      </w:r>
    </w:p>
    <w:p w14:paraId="1CC30130" w14:textId="710169FB" w:rsidR="00D42C86" w:rsidRPr="00D3148C" w:rsidRDefault="00EC3AE8" w:rsidP="00EC3AE8">
      <w:pPr>
        <w:rPr>
          <w:rFonts w:ascii="Calibri" w:hAnsi="Calibri" w:cs="Calibri"/>
          <w:sz w:val="22"/>
          <w:szCs w:val="22"/>
          <w:u w:val="single"/>
        </w:rPr>
      </w:pPr>
      <w:r w:rsidRPr="00D3148C">
        <w:rPr>
          <w:rFonts w:ascii="Calibri" w:hAnsi="Calibri" w:cs="Calibri"/>
          <w:sz w:val="22"/>
          <w:szCs w:val="22"/>
          <w:u w:val="single"/>
        </w:rPr>
        <w:t>2.</w:t>
      </w:r>
      <w:r w:rsidR="00D42C86" w:rsidRPr="00D3148C">
        <w:rPr>
          <w:rFonts w:ascii="Calibri" w:hAnsi="Calibri" w:cs="Calibri"/>
          <w:sz w:val="22"/>
          <w:szCs w:val="22"/>
          <w:u w:val="single"/>
        </w:rPr>
        <w:t>Financial Losses:</w:t>
      </w:r>
    </w:p>
    <w:p w14:paraId="15ECEF0A" w14:textId="436C0E3B" w:rsidR="00D42C86" w:rsidRPr="00D42C86" w:rsidRDefault="00D42C86" w:rsidP="00D252BF">
      <w:pPr>
        <w:spacing w:line="480" w:lineRule="auto"/>
        <w:rPr>
          <w:rFonts w:ascii="Calibri" w:hAnsi="Calibri" w:cs="Calibri"/>
          <w:sz w:val="22"/>
          <w:szCs w:val="22"/>
        </w:rPr>
      </w:pPr>
      <w:r w:rsidRPr="00D42C86">
        <w:rPr>
          <w:rFonts w:ascii="Calibri" w:hAnsi="Calibri" w:cs="Calibri"/>
          <w:sz w:val="22"/>
          <w:szCs w:val="22"/>
        </w:rPr>
        <w:t>Incident response and forensic investigations cost the company millions of dollars in immediate remediation expenses.</w:t>
      </w:r>
      <w:r w:rsidR="00D252BF" w:rsidRPr="00373F21">
        <w:rPr>
          <w:rFonts w:ascii="Calibri" w:hAnsi="Calibri" w:cs="Calibri"/>
          <w:sz w:val="22"/>
          <w:szCs w:val="22"/>
        </w:rPr>
        <w:t xml:space="preserve"> </w:t>
      </w:r>
      <w:r w:rsidRPr="00D42C86">
        <w:rPr>
          <w:rFonts w:ascii="Calibri" w:hAnsi="Calibri" w:cs="Calibri"/>
          <w:sz w:val="22"/>
          <w:szCs w:val="22"/>
        </w:rPr>
        <w:t>Ransom demands from attackers, if considered, could add financial burden and ethical dilemmas regarding compliance with DoD cybersecurity policies.</w:t>
      </w:r>
      <w:r w:rsidR="00D252BF" w:rsidRPr="00373F21">
        <w:rPr>
          <w:rFonts w:ascii="Calibri" w:hAnsi="Calibri" w:cs="Calibri"/>
          <w:sz w:val="22"/>
          <w:szCs w:val="22"/>
        </w:rPr>
        <w:t xml:space="preserve"> </w:t>
      </w:r>
      <w:r w:rsidRPr="00D42C86">
        <w:rPr>
          <w:rFonts w:ascii="Calibri" w:hAnsi="Calibri" w:cs="Calibri"/>
          <w:sz w:val="22"/>
          <w:szCs w:val="22"/>
        </w:rPr>
        <w:t>Loss of contracts and business opportunities due to loss of confidence from the DoD and other defense contractors.</w:t>
      </w:r>
    </w:p>
    <w:p w14:paraId="3D9B1505" w14:textId="4E35DC29" w:rsidR="00D42C86" w:rsidRPr="00EC3AE8" w:rsidRDefault="00D3148C" w:rsidP="00EC3AE8">
      <w:pPr>
        <w:rPr>
          <w:rFonts w:ascii="Calibri" w:hAnsi="Calibri" w:cs="Calibri"/>
          <w:sz w:val="22"/>
          <w:szCs w:val="22"/>
          <w:u w:val="single"/>
        </w:rPr>
      </w:pPr>
      <w:r>
        <w:rPr>
          <w:rFonts w:ascii="Calibri" w:hAnsi="Calibri" w:cs="Calibri"/>
          <w:sz w:val="22"/>
          <w:szCs w:val="22"/>
          <w:u w:val="single"/>
        </w:rPr>
        <w:t>3.</w:t>
      </w:r>
      <w:r w:rsidR="00D42C86" w:rsidRPr="00EC3AE8">
        <w:rPr>
          <w:rFonts w:ascii="Calibri" w:hAnsi="Calibri" w:cs="Calibri"/>
          <w:sz w:val="22"/>
          <w:szCs w:val="22"/>
          <w:u w:val="single"/>
        </w:rPr>
        <w:t>Data Compromise:</w:t>
      </w:r>
    </w:p>
    <w:p w14:paraId="7BAF5519" w14:textId="6C30A798" w:rsidR="00D42C86" w:rsidRPr="00D42C86" w:rsidRDefault="00D42C86" w:rsidP="00D252BF">
      <w:pPr>
        <w:spacing w:line="480" w:lineRule="auto"/>
        <w:rPr>
          <w:rFonts w:ascii="Calibri" w:hAnsi="Calibri" w:cs="Calibri"/>
          <w:sz w:val="22"/>
          <w:szCs w:val="22"/>
        </w:rPr>
      </w:pPr>
      <w:r w:rsidRPr="00D42C86">
        <w:rPr>
          <w:rFonts w:ascii="Calibri" w:hAnsi="Calibri" w:cs="Calibri"/>
          <w:sz w:val="22"/>
          <w:szCs w:val="22"/>
        </w:rPr>
        <w:t>Unauthorized access to classified DoD data leads to national security concerns, potentially exposing military strategies and technological advancements.</w:t>
      </w:r>
      <w:r w:rsidR="00D252BF" w:rsidRPr="00373F21">
        <w:rPr>
          <w:rFonts w:ascii="Calibri" w:hAnsi="Calibri" w:cs="Calibri"/>
          <w:sz w:val="22"/>
          <w:szCs w:val="22"/>
        </w:rPr>
        <w:t xml:space="preserve"> </w:t>
      </w:r>
      <w:r w:rsidRPr="00D42C86">
        <w:rPr>
          <w:rFonts w:ascii="Calibri" w:hAnsi="Calibri" w:cs="Calibri"/>
          <w:sz w:val="22"/>
          <w:szCs w:val="22"/>
        </w:rPr>
        <w:t>Intellectual property theft impacts proprietary cloud-based defense solutions, reducing Tantalum Defense Technologies’ competitive edge.</w:t>
      </w:r>
    </w:p>
    <w:p w14:paraId="10609280" w14:textId="1E8823A4" w:rsidR="00D42C86" w:rsidRPr="00D3148C" w:rsidRDefault="00D3148C" w:rsidP="00D3148C">
      <w:pPr>
        <w:rPr>
          <w:rFonts w:ascii="Calibri" w:hAnsi="Calibri" w:cs="Calibri"/>
          <w:sz w:val="22"/>
          <w:szCs w:val="22"/>
          <w:u w:val="single"/>
        </w:rPr>
      </w:pPr>
      <w:r>
        <w:rPr>
          <w:rFonts w:ascii="Calibri" w:hAnsi="Calibri" w:cs="Calibri"/>
          <w:sz w:val="22"/>
          <w:szCs w:val="22"/>
          <w:u w:val="single"/>
        </w:rPr>
        <w:t>4.</w:t>
      </w:r>
      <w:r w:rsidR="00D42C86" w:rsidRPr="00D3148C">
        <w:rPr>
          <w:rFonts w:ascii="Calibri" w:hAnsi="Calibri" w:cs="Calibri"/>
          <w:sz w:val="22"/>
          <w:szCs w:val="22"/>
          <w:u w:val="single"/>
        </w:rPr>
        <w:t>Regulatory and Legal Repercussions:</w:t>
      </w:r>
    </w:p>
    <w:p w14:paraId="4AA0BB43" w14:textId="4D0D4934" w:rsidR="00D42C86" w:rsidRPr="00D42C86" w:rsidRDefault="00D42C86" w:rsidP="00D252BF">
      <w:pPr>
        <w:spacing w:line="480" w:lineRule="auto"/>
        <w:rPr>
          <w:rFonts w:ascii="Calibri" w:hAnsi="Calibri" w:cs="Calibri"/>
          <w:sz w:val="22"/>
          <w:szCs w:val="22"/>
        </w:rPr>
      </w:pPr>
      <w:r w:rsidRPr="00D42C86">
        <w:rPr>
          <w:rFonts w:ascii="Calibri" w:hAnsi="Calibri" w:cs="Calibri"/>
          <w:sz w:val="22"/>
          <w:szCs w:val="22"/>
        </w:rPr>
        <w:t>Failure to secure sensitive DoD data results in non-compliance with DFARS, CMMC, and FISMA regulations, leading to federal investigations and fines.</w:t>
      </w:r>
      <w:r w:rsidR="00D252BF" w:rsidRPr="00373F21">
        <w:rPr>
          <w:rFonts w:ascii="Calibri" w:hAnsi="Calibri" w:cs="Calibri"/>
          <w:sz w:val="22"/>
          <w:szCs w:val="22"/>
        </w:rPr>
        <w:t xml:space="preserve"> </w:t>
      </w:r>
      <w:r w:rsidRPr="00D42C86">
        <w:rPr>
          <w:rFonts w:ascii="Calibri" w:hAnsi="Calibri" w:cs="Calibri"/>
          <w:sz w:val="22"/>
          <w:szCs w:val="22"/>
        </w:rPr>
        <w:t>Potential lawsuits from DoD and defense partners for breach of contractual obligations regarding data protection and cybersecurity standards.</w:t>
      </w:r>
    </w:p>
    <w:p w14:paraId="133CDCC6" w14:textId="3FE8B37B" w:rsidR="00D42C86" w:rsidRPr="00D3148C" w:rsidRDefault="00D3148C" w:rsidP="00D3148C">
      <w:pPr>
        <w:rPr>
          <w:rFonts w:ascii="Calibri" w:hAnsi="Calibri" w:cs="Calibri"/>
          <w:sz w:val="22"/>
          <w:szCs w:val="22"/>
          <w:u w:val="single"/>
        </w:rPr>
      </w:pPr>
      <w:r>
        <w:rPr>
          <w:rFonts w:ascii="Calibri" w:hAnsi="Calibri" w:cs="Calibri"/>
          <w:sz w:val="22"/>
          <w:szCs w:val="22"/>
          <w:u w:val="single"/>
        </w:rPr>
        <w:lastRenderedPageBreak/>
        <w:t>5.</w:t>
      </w:r>
      <w:r w:rsidR="00D42C86" w:rsidRPr="00D3148C">
        <w:rPr>
          <w:rFonts w:ascii="Calibri" w:hAnsi="Calibri" w:cs="Calibri"/>
          <w:sz w:val="22"/>
          <w:szCs w:val="22"/>
          <w:u w:val="single"/>
        </w:rPr>
        <w:t>Reputational Damage:</w:t>
      </w:r>
    </w:p>
    <w:p w14:paraId="710643FE" w14:textId="564BDD85" w:rsidR="00D42C86" w:rsidRPr="00D42C86" w:rsidRDefault="00D42C86" w:rsidP="006D0BBF">
      <w:pPr>
        <w:spacing w:line="480" w:lineRule="auto"/>
        <w:rPr>
          <w:rFonts w:ascii="Calibri" w:hAnsi="Calibri" w:cs="Calibri"/>
          <w:sz w:val="22"/>
          <w:szCs w:val="22"/>
        </w:rPr>
      </w:pPr>
      <w:r w:rsidRPr="00D42C86">
        <w:rPr>
          <w:rFonts w:ascii="Calibri" w:hAnsi="Calibri" w:cs="Calibri"/>
          <w:sz w:val="22"/>
          <w:szCs w:val="22"/>
        </w:rPr>
        <w:t>Loss of trust from DoD clients, leading to reduced future contract opportunities.</w:t>
      </w:r>
      <w:r w:rsidR="006D0BBF" w:rsidRPr="00373F21">
        <w:rPr>
          <w:rFonts w:ascii="Calibri" w:hAnsi="Calibri" w:cs="Calibri"/>
          <w:sz w:val="22"/>
          <w:szCs w:val="22"/>
        </w:rPr>
        <w:t xml:space="preserve"> </w:t>
      </w:r>
      <w:r w:rsidRPr="00D42C86">
        <w:rPr>
          <w:rFonts w:ascii="Calibri" w:hAnsi="Calibri" w:cs="Calibri"/>
          <w:sz w:val="22"/>
          <w:szCs w:val="22"/>
        </w:rPr>
        <w:t>Negative</w:t>
      </w:r>
      <w:r w:rsidR="006D0BBF" w:rsidRPr="00373F21">
        <w:rPr>
          <w:rFonts w:ascii="Calibri" w:hAnsi="Calibri" w:cs="Calibri"/>
          <w:sz w:val="22"/>
          <w:szCs w:val="22"/>
        </w:rPr>
        <w:t xml:space="preserve"> </w:t>
      </w:r>
      <w:r w:rsidRPr="00D42C86">
        <w:rPr>
          <w:rFonts w:ascii="Calibri" w:hAnsi="Calibri" w:cs="Calibri"/>
          <w:sz w:val="22"/>
          <w:szCs w:val="22"/>
        </w:rPr>
        <w:t>media coverage and scrutiny from government agencies and industry regulators.</w:t>
      </w:r>
    </w:p>
    <w:p w14:paraId="186B6575" w14:textId="66726564" w:rsidR="00D42C86" w:rsidRPr="00D3148C" w:rsidRDefault="00D3148C" w:rsidP="00D3148C">
      <w:pPr>
        <w:rPr>
          <w:rFonts w:ascii="Calibri" w:hAnsi="Calibri" w:cs="Calibri"/>
          <w:sz w:val="22"/>
          <w:szCs w:val="22"/>
          <w:u w:val="single"/>
        </w:rPr>
      </w:pPr>
      <w:r>
        <w:rPr>
          <w:rFonts w:ascii="Calibri" w:hAnsi="Calibri" w:cs="Calibri"/>
          <w:sz w:val="22"/>
          <w:szCs w:val="22"/>
          <w:u w:val="single"/>
        </w:rPr>
        <w:t>6.</w:t>
      </w:r>
      <w:r w:rsidR="00D42C86" w:rsidRPr="00D3148C">
        <w:rPr>
          <w:rFonts w:ascii="Calibri" w:hAnsi="Calibri" w:cs="Calibri"/>
          <w:sz w:val="22"/>
          <w:szCs w:val="22"/>
          <w:u w:val="single"/>
        </w:rPr>
        <w:t>Extended Recovery Timeline:</w:t>
      </w:r>
    </w:p>
    <w:p w14:paraId="642CD2CC" w14:textId="77777777" w:rsidR="00AF05E1" w:rsidRPr="00373F21" w:rsidRDefault="00D42C86" w:rsidP="00AF05E1">
      <w:pPr>
        <w:spacing w:line="480" w:lineRule="auto"/>
        <w:rPr>
          <w:rFonts w:ascii="Calibri" w:hAnsi="Calibri" w:cs="Calibri"/>
          <w:sz w:val="22"/>
          <w:szCs w:val="22"/>
        </w:rPr>
      </w:pPr>
      <w:r w:rsidRPr="00D42C86">
        <w:rPr>
          <w:rFonts w:ascii="Calibri" w:hAnsi="Calibri" w:cs="Calibri"/>
          <w:sz w:val="22"/>
          <w:szCs w:val="22"/>
        </w:rPr>
        <w:t>Full system restoration, security patching, and regulatory audits could take months, significantly affecting business continuity.</w:t>
      </w:r>
      <w:r w:rsidR="006D0BBF" w:rsidRPr="00373F21">
        <w:rPr>
          <w:rFonts w:ascii="Calibri" w:hAnsi="Calibri" w:cs="Calibri"/>
          <w:sz w:val="22"/>
          <w:szCs w:val="22"/>
        </w:rPr>
        <w:t xml:space="preserve"> </w:t>
      </w:r>
      <w:r w:rsidRPr="00D42C86">
        <w:rPr>
          <w:rFonts w:ascii="Calibri" w:hAnsi="Calibri" w:cs="Calibri"/>
          <w:sz w:val="22"/>
          <w:szCs w:val="22"/>
        </w:rPr>
        <w:t>Mandatory cybersecurity enhancements and staff retraining efforts would require additional investments in security infrastructure and personnel.</w:t>
      </w:r>
    </w:p>
    <w:p w14:paraId="27DF2192" w14:textId="4DF8FDC8" w:rsidR="00240C76" w:rsidRPr="00240C76" w:rsidRDefault="00240C76" w:rsidP="00AF05E1">
      <w:pPr>
        <w:spacing w:line="480" w:lineRule="auto"/>
        <w:rPr>
          <w:rFonts w:ascii="Calibri" w:hAnsi="Calibri" w:cs="Calibri"/>
          <w:sz w:val="22"/>
          <w:szCs w:val="22"/>
        </w:rPr>
      </w:pPr>
      <w:r w:rsidRPr="00240C76">
        <w:rPr>
          <w:rFonts w:ascii="Calibri" w:hAnsi="Calibri" w:cs="Calibri"/>
          <w:b/>
          <w:bCs/>
          <w:sz w:val="22"/>
          <w:szCs w:val="22"/>
        </w:rPr>
        <w:t>Business Impact Analysis (BIA)</w:t>
      </w:r>
    </w:p>
    <w:p w14:paraId="3F61D1F1" w14:textId="77777777" w:rsidR="0063721B" w:rsidRPr="0063721B" w:rsidRDefault="0063721B" w:rsidP="00E118C5">
      <w:pPr>
        <w:spacing w:line="480" w:lineRule="auto"/>
        <w:rPr>
          <w:rFonts w:ascii="Calibri" w:hAnsi="Calibri" w:cs="Calibri"/>
          <w:sz w:val="22"/>
          <w:szCs w:val="22"/>
        </w:rPr>
      </w:pPr>
      <w:r w:rsidRPr="0063721B">
        <w:rPr>
          <w:rFonts w:ascii="Calibri" w:hAnsi="Calibri" w:cs="Calibri"/>
          <w:sz w:val="22"/>
          <w:szCs w:val="22"/>
        </w:rPr>
        <w:t>The Business Impact Analysis (BIA) evaluates the potential consequences of a cybersecurity incident, helping Tantalum Defense Technologies prioritize critical systems, set recovery objectives, and allocate resources effectively. Given the company’s role as a cloud service provider for DoD operations, disruptions could have significant national security implications.</w:t>
      </w:r>
    </w:p>
    <w:p w14:paraId="26BFEB0F" w14:textId="77777777" w:rsidR="0063721B" w:rsidRPr="0063721B" w:rsidRDefault="0063721B" w:rsidP="0063721B">
      <w:pPr>
        <w:rPr>
          <w:rFonts w:ascii="Calibri" w:hAnsi="Calibri" w:cs="Calibri"/>
          <w:b/>
          <w:bCs/>
          <w:sz w:val="22"/>
          <w:szCs w:val="22"/>
        </w:rPr>
      </w:pPr>
      <w:r w:rsidRPr="0063721B">
        <w:rPr>
          <w:rFonts w:ascii="Calibri" w:hAnsi="Calibri" w:cs="Calibri"/>
          <w:b/>
          <w:bCs/>
          <w:sz w:val="22"/>
          <w:szCs w:val="22"/>
        </w:rPr>
        <w:t>Critical Cloud Services Supporting the DoD</w:t>
      </w:r>
    </w:p>
    <w:p w14:paraId="2BA9767E" w14:textId="57EF2D77" w:rsidR="0063721B" w:rsidRPr="0063721B" w:rsidRDefault="00D00794" w:rsidP="00E118C5">
      <w:pPr>
        <w:spacing w:line="480" w:lineRule="auto"/>
        <w:rPr>
          <w:rFonts w:ascii="Calibri" w:hAnsi="Calibri" w:cs="Calibri"/>
          <w:sz w:val="22"/>
          <w:szCs w:val="22"/>
        </w:rPr>
      </w:pPr>
      <w:r w:rsidRPr="00373F21">
        <w:rPr>
          <w:rFonts w:ascii="Calibri" w:hAnsi="Calibri" w:cs="Calibri"/>
          <w:sz w:val="22"/>
          <w:szCs w:val="22"/>
        </w:rPr>
        <w:t>Tantalum Defense Technologies offers a range of cloud-based services that are crucial for Department of Defense operations.</w:t>
      </w:r>
      <w:r w:rsidR="0063721B" w:rsidRPr="0063721B">
        <w:rPr>
          <w:rFonts w:ascii="Calibri" w:hAnsi="Calibri" w:cs="Calibri"/>
          <w:sz w:val="22"/>
          <w:szCs w:val="22"/>
        </w:rPr>
        <w:t xml:space="preserve"> Any compromise or disruption to these services could severely impact national security, military communications, and tactical readiness. The following cloud services are identified as critical:</w:t>
      </w:r>
    </w:p>
    <w:p w14:paraId="1F3383A9" w14:textId="4A363B4E" w:rsidR="0063721B" w:rsidRPr="0063721B" w:rsidRDefault="005E2B07" w:rsidP="005E2B07">
      <w:pPr>
        <w:rPr>
          <w:rFonts w:ascii="Calibri" w:hAnsi="Calibri" w:cs="Calibri"/>
          <w:sz w:val="22"/>
          <w:szCs w:val="22"/>
          <w:u w:val="single"/>
        </w:rPr>
      </w:pPr>
      <w:r>
        <w:rPr>
          <w:rFonts w:ascii="Calibri" w:hAnsi="Calibri" w:cs="Calibri"/>
          <w:sz w:val="22"/>
          <w:szCs w:val="22"/>
          <w:u w:val="single"/>
        </w:rPr>
        <w:t>1.</w:t>
      </w:r>
      <w:r w:rsidR="0063721B" w:rsidRPr="0063721B">
        <w:rPr>
          <w:rFonts w:ascii="Calibri" w:hAnsi="Calibri" w:cs="Calibri"/>
          <w:sz w:val="22"/>
          <w:szCs w:val="22"/>
          <w:u w:val="single"/>
        </w:rPr>
        <w:t>Secure Communications Platform</w:t>
      </w:r>
    </w:p>
    <w:p w14:paraId="164EB39A" w14:textId="77777777" w:rsidR="0063721B" w:rsidRPr="0063721B" w:rsidRDefault="0063721B" w:rsidP="005E2B07">
      <w:pPr>
        <w:pStyle w:val="ListParagraph"/>
        <w:numPr>
          <w:ilvl w:val="0"/>
          <w:numId w:val="50"/>
        </w:numPr>
      </w:pPr>
      <w:r w:rsidRPr="0063721B">
        <w:t>Ensures real-time, encrypted communication between deployed military units, intelligence teams, and command centers.</w:t>
      </w:r>
    </w:p>
    <w:p w14:paraId="644CE02D" w14:textId="77777777" w:rsidR="0063721B" w:rsidRPr="0063721B" w:rsidRDefault="0063721B" w:rsidP="005E2B07">
      <w:pPr>
        <w:pStyle w:val="ListParagraph"/>
        <w:numPr>
          <w:ilvl w:val="0"/>
          <w:numId w:val="50"/>
        </w:numPr>
      </w:pPr>
      <w:r w:rsidRPr="0063721B">
        <w:t>Any service disruption would delay battlefield coordination, increasing risks for military personnel.</w:t>
      </w:r>
    </w:p>
    <w:p w14:paraId="74411841" w14:textId="08349887" w:rsidR="0063721B" w:rsidRPr="0063721B" w:rsidRDefault="005E2B07" w:rsidP="005E2B07">
      <w:pPr>
        <w:rPr>
          <w:rFonts w:ascii="Calibri" w:hAnsi="Calibri" w:cs="Calibri"/>
          <w:sz w:val="22"/>
          <w:szCs w:val="22"/>
          <w:u w:val="single"/>
        </w:rPr>
      </w:pPr>
      <w:r>
        <w:rPr>
          <w:rFonts w:ascii="Calibri" w:hAnsi="Calibri" w:cs="Calibri"/>
          <w:sz w:val="22"/>
          <w:szCs w:val="22"/>
          <w:u w:val="single"/>
        </w:rPr>
        <w:t>2.</w:t>
      </w:r>
      <w:r w:rsidR="0063721B" w:rsidRPr="0063721B">
        <w:rPr>
          <w:rFonts w:ascii="Calibri" w:hAnsi="Calibri" w:cs="Calibri"/>
          <w:sz w:val="22"/>
          <w:szCs w:val="22"/>
          <w:u w:val="single"/>
        </w:rPr>
        <w:t>Encrypted Data Storage and Processing</w:t>
      </w:r>
    </w:p>
    <w:p w14:paraId="004C63C3" w14:textId="77777777" w:rsidR="0063721B" w:rsidRPr="0063721B" w:rsidRDefault="0063721B" w:rsidP="005E2B07">
      <w:pPr>
        <w:pStyle w:val="ListParagraph"/>
        <w:numPr>
          <w:ilvl w:val="0"/>
          <w:numId w:val="51"/>
        </w:numPr>
      </w:pPr>
      <w:r w:rsidRPr="0063721B">
        <w:t>Manages and secures classified DoD data, including operational intelligence, mission reports, and supply chain logistics.</w:t>
      </w:r>
    </w:p>
    <w:p w14:paraId="0D9BE3EB" w14:textId="77777777" w:rsidR="0063721B" w:rsidRPr="0063721B" w:rsidRDefault="0063721B" w:rsidP="005E2B07">
      <w:pPr>
        <w:pStyle w:val="ListParagraph"/>
        <w:numPr>
          <w:ilvl w:val="0"/>
          <w:numId w:val="51"/>
        </w:numPr>
      </w:pPr>
      <w:r w:rsidRPr="0063721B">
        <w:lastRenderedPageBreak/>
        <w:t>A breach or loss of integrity could expose sensitive data to adversaries, compromising national security.</w:t>
      </w:r>
    </w:p>
    <w:p w14:paraId="30836B11" w14:textId="6870A6BA" w:rsidR="0063721B" w:rsidRPr="0063721B" w:rsidRDefault="005E2B07" w:rsidP="005E2B07">
      <w:pPr>
        <w:rPr>
          <w:rFonts w:ascii="Calibri" w:hAnsi="Calibri" w:cs="Calibri"/>
          <w:sz w:val="22"/>
          <w:szCs w:val="22"/>
          <w:u w:val="single"/>
        </w:rPr>
      </w:pPr>
      <w:r>
        <w:rPr>
          <w:rFonts w:ascii="Calibri" w:hAnsi="Calibri" w:cs="Calibri"/>
          <w:sz w:val="22"/>
          <w:szCs w:val="22"/>
          <w:u w:val="single"/>
        </w:rPr>
        <w:t>3.</w:t>
      </w:r>
      <w:r w:rsidR="0063721B" w:rsidRPr="0063721B">
        <w:rPr>
          <w:rFonts w:ascii="Calibri" w:hAnsi="Calibri" w:cs="Calibri"/>
          <w:sz w:val="22"/>
          <w:szCs w:val="22"/>
          <w:u w:val="single"/>
        </w:rPr>
        <w:t>AI-Driven Battlefield Analytics</w:t>
      </w:r>
    </w:p>
    <w:p w14:paraId="3CAF31F7" w14:textId="77777777" w:rsidR="0063721B" w:rsidRPr="005E2B07" w:rsidRDefault="0063721B" w:rsidP="005E2B07">
      <w:pPr>
        <w:pStyle w:val="ListParagraph"/>
        <w:numPr>
          <w:ilvl w:val="0"/>
          <w:numId w:val="53"/>
        </w:numPr>
      </w:pPr>
      <w:r w:rsidRPr="005E2B07">
        <w:t>Provides real-time data processing and threat assessment using machine learning and artificial intelligence.</w:t>
      </w:r>
    </w:p>
    <w:p w14:paraId="281CA507" w14:textId="77777777" w:rsidR="0063721B" w:rsidRPr="005E2B07" w:rsidRDefault="0063721B" w:rsidP="005E2B07">
      <w:pPr>
        <w:pStyle w:val="ListParagraph"/>
        <w:numPr>
          <w:ilvl w:val="0"/>
          <w:numId w:val="53"/>
        </w:numPr>
      </w:pPr>
      <w:r w:rsidRPr="005E2B07">
        <w:t>Service interruptions would hinder DoD’s ability to process real-time intelligence, impacting strategic decision-making.</w:t>
      </w:r>
    </w:p>
    <w:p w14:paraId="6DF3BE47" w14:textId="28D73A11" w:rsidR="0063721B" w:rsidRPr="0063721B" w:rsidRDefault="005E2B07" w:rsidP="005E2B07">
      <w:pPr>
        <w:rPr>
          <w:rFonts w:ascii="Calibri" w:hAnsi="Calibri" w:cs="Calibri"/>
          <w:sz w:val="22"/>
          <w:szCs w:val="22"/>
          <w:u w:val="single"/>
        </w:rPr>
      </w:pPr>
      <w:r>
        <w:rPr>
          <w:rFonts w:ascii="Calibri" w:hAnsi="Calibri" w:cs="Calibri"/>
          <w:sz w:val="22"/>
          <w:szCs w:val="22"/>
          <w:u w:val="single"/>
        </w:rPr>
        <w:t>4.</w:t>
      </w:r>
      <w:r w:rsidR="0063721B" w:rsidRPr="0063721B">
        <w:rPr>
          <w:rFonts w:ascii="Calibri" w:hAnsi="Calibri" w:cs="Calibri"/>
          <w:sz w:val="22"/>
          <w:szCs w:val="22"/>
          <w:u w:val="single"/>
        </w:rPr>
        <w:t>Zero-Trust Authentication and Identity Management</w:t>
      </w:r>
    </w:p>
    <w:p w14:paraId="3AD7A799" w14:textId="77777777" w:rsidR="0063721B" w:rsidRPr="005E2B07" w:rsidRDefault="0063721B" w:rsidP="005E2B07">
      <w:pPr>
        <w:pStyle w:val="ListParagraph"/>
        <w:numPr>
          <w:ilvl w:val="0"/>
          <w:numId w:val="54"/>
        </w:numPr>
        <w:rPr>
          <w:rFonts w:ascii="Calibri" w:hAnsi="Calibri" w:cs="Calibri"/>
          <w:sz w:val="22"/>
          <w:szCs w:val="22"/>
        </w:rPr>
      </w:pPr>
      <w:r w:rsidRPr="005E2B07">
        <w:rPr>
          <w:rFonts w:ascii="Calibri" w:hAnsi="Calibri" w:cs="Calibri"/>
          <w:sz w:val="22"/>
          <w:szCs w:val="22"/>
        </w:rPr>
        <w:t>Supports identity verification and access controls for DoD personnel using cloud infrastructure.</w:t>
      </w:r>
    </w:p>
    <w:p w14:paraId="7E457185" w14:textId="77777777" w:rsidR="0063721B" w:rsidRPr="005E2B07" w:rsidRDefault="0063721B" w:rsidP="005E2B07">
      <w:pPr>
        <w:pStyle w:val="ListParagraph"/>
        <w:numPr>
          <w:ilvl w:val="0"/>
          <w:numId w:val="54"/>
        </w:numPr>
        <w:rPr>
          <w:rFonts w:ascii="Calibri" w:hAnsi="Calibri" w:cs="Calibri"/>
          <w:sz w:val="22"/>
          <w:szCs w:val="22"/>
        </w:rPr>
      </w:pPr>
      <w:r w:rsidRPr="005E2B07">
        <w:rPr>
          <w:rFonts w:ascii="Calibri" w:hAnsi="Calibri" w:cs="Calibri"/>
          <w:sz w:val="22"/>
          <w:szCs w:val="22"/>
        </w:rPr>
        <w:t>A compromise in authentication services could lead to unauthorized access, increasing insider threat risks.</w:t>
      </w:r>
    </w:p>
    <w:p w14:paraId="4920EC75" w14:textId="1157F651" w:rsidR="0063721B" w:rsidRPr="0063721B" w:rsidRDefault="005E2B07" w:rsidP="005E2B07">
      <w:pPr>
        <w:rPr>
          <w:rFonts w:ascii="Calibri" w:hAnsi="Calibri" w:cs="Calibri"/>
          <w:sz w:val="22"/>
          <w:szCs w:val="22"/>
          <w:u w:val="single"/>
        </w:rPr>
      </w:pPr>
      <w:r>
        <w:rPr>
          <w:rFonts w:ascii="Calibri" w:hAnsi="Calibri" w:cs="Calibri"/>
          <w:sz w:val="22"/>
          <w:szCs w:val="22"/>
          <w:u w:val="single"/>
        </w:rPr>
        <w:t>5.</w:t>
      </w:r>
      <w:r w:rsidR="0063721B" w:rsidRPr="0063721B">
        <w:rPr>
          <w:rFonts w:ascii="Calibri" w:hAnsi="Calibri" w:cs="Calibri"/>
          <w:sz w:val="22"/>
          <w:szCs w:val="22"/>
          <w:u w:val="single"/>
        </w:rPr>
        <w:t>Tactical Network Orchestration</w:t>
      </w:r>
    </w:p>
    <w:p w14:paraId="0F1C2923" w14:textId="77777777" w:rsidR="0063721B" w:rsidRPr="005E2B07" w:rsidRDefault="0063721B" w:rsidP="005E2B07">
      <w:pPr>
        <w:pStyle w:val="ListParagraph"/>
        <w:numPr>
          <w:ilvl w:val="0"/>
          <w:numId w:val="55"/>
        </w:numPr>
        <w:rPr>
          <w:rFonts w:ascii="Calibri" w:hAnsi="Calibri" w:cs="Calibri"/>
          <w:sz w:val="22"/>
          <w:szCs w:val="22"/>
        </w:rPr>
      </w:pPr>
      <w:r w:rsidRPr="005E2B07">
        <w:rPr>
          <w:rFonts w:ascii="Calibri" w:hAnsi="Calibri" w:cs="Calibri"/>
          <w:sz w:val="22"/>
          <w:szCs w:val="22"/>
        </w:rPr>
        <w:t>Manages and optimizes battlefield network deployments, ensuring seamless connectivity in combat zones.</w:t>
      </w:r>
    </w:p>
    <w:p w14:paraId="4662D505" w14:textId="77777777" w:rsidR="0063721B" w:rsidRPr="005E2B07" w:rsidRDefault="0063721B" w:rsidP="005E2B07">
      <w:pPr>
        <w:pStyle w:val="ListParagraph"/>
        <w:numPr>
          <w:ilvl w:val="0"/>
          <w:numId w:val="55"/>
        </w:numPr>
        <w:rPr>
          <w:rFonts w:ascii="Calibri" w:hAnsi="Calibri" w:cs="Calibri"/>
          <w:sz w:val="22"/>
          <w:szCs w:val="22"/>
        </w:rPr>
      </w:pPr>
      <w:r w:rsidRPr="005E2B07">
        <w:rPr>
          <w:rFonts w:ascii="Calibri" w:hAnsi="Calibri" w:cs="Calibri"/>
          <w:sz w:val="22"/>
          <w:szCs w:val="22"/>
        </w:rPr>
        <w:t>Disruptions could lead to loss of connectivity, affecting command-and-control operations.</w:t>
      </w:r>
    </w:p>
    <w:p w14:paraId="5892E839" w14:textId="77777777" w:rsidR="0063721B" w:rsidRPr="00373F21" w:rsidRDefault="0063721B" w:rsidP="0063721B">
      <w:pPr>
        <w:rPr>
          <w:rFonts w:ascii="Calibri" w:hAnsi="Calibri" w:cs="Calibri"/>
          <w:b/>
          <w:bCs/>
          <w:sz w:val="22"/>
          <w:szCs w:val="22"/>
        </w:rPr>
      </w:pPr>
      <w:r w:rsidRPr="0063721B">
        <w:rPr>
          <w:rFonts w:ascii="Calibri" w:hAnsi="Calibri" w:cs="Calibri"/>
          <w:b/>
          <w:bCs/>
          <w:sz w:val="22"/>
          <w:szCs w:val="22"/>
        </w:rPr>
        <w:t>Impact of Disruptions on Cloud Services</w:t>
      </w:r>
    </w:p>
    <w:tbl>
      <w:tblPr>
        <w:tblW w:w="8020" w:type="dxa"/>
        <w:tblLook w:val="04A0" w:firstRow="1" w:lastRow="0" w:firstColumn="1" w:lastColumn="0" w:noHBand="0" w:noVBand="1"/>
      </w:tblPr>
      <w:tblGrid>
        <w:gridCol w:w="3040"/>
        <w:gridCol w:w="1420"/>
        <w:gridCol w:w="3560"/>
      </w:tblGrid>
      <w:tr w:rsidR="00674DB5" w:rsidRPr="00674DB5" w14:paraId="27AC3E93" w14:textId="77777777" w:rsidTr="00674DB5">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D5A318A" w14:textId="77777777" w:rsidR="00674DB5" w:rsidRPr="00674DB5" w:rsidRDefault="00674DB5" w:rsidP="00674DB5">
            <w:pPr>
              <w:spacing w:after="0" w:line="240" w:lineRule="auto"/>
              <w:rPr>
                <w:rFonts w:ascii="Calibri" w:eastAsia="Times New Roman" w:hAnsi="Calibri" w:cs="Calibri"/>
                <w:b/>
                <w:bCs/>
                <w:color w:val="000000"/>
                <w:kern w:val="0"/>
                <w:sz w:val="22"/>
                <w:szCs w:val="22"/>
                <w14:ligatures w14:val="none"/>
              </w:rPr>
            </w:pPr>
            <w:r w:rsidRPr="00674DB5">
              <w:rPr>
                <w:rFonts w:ascii="Calibri" w:eastAsia="Times New Roman" w:hAnsi="Calibri" w:cs="Calibri"/>
                <w:b/>
                <w:bCs/>
                <w:color w:val="000000"/>
                <w:kern w:val="0"/>
                <w:sz w:val="22"/>
                <w:szCs w:val="22"/>
                <w14:ligatures w14:val="none"/>
              </w:rPr>
              <w:t>Cloud Service</w:t>
            </w:r>
          </w:p>
        </w:tc>
        <w:tc>
          <w:tcPr>
            <w:tcW w:w="1420" w:type="dxa"/>
            <w:tcBorders>
              <w:top w:val="single" w:sz="4" w:space="0" w:color="auto"/>
              <w:left w:val="nil"/>
              <w:bottom w:val="single" w:sz="4" w:space="0" w:color="auto"/>
              <w:right w:val="single" w:sz="4" w:space="0" w:color="auto"/>
            </w:tcBorders>
            <w:shd w:val="clear" w:color="000000" w:fill="BFBFBF"/>
            <w:noWrap/>
            <w:vAlign w:val="bottom"/>
            <w:hideMark/>
          </w:tcPr>
          <w:p w14:paraId="182B61DD" w14:textId="77777777" w:rsidR="00674DB5" w:rsidRPr="00674DB5" w:rsidRDefault="00674DB5" w:rsidP="00674DB5">
            <w:pPr>
              <w:spacing w:after="0" w:line="240" w:lineRule="auto"/>
              <w:rPr>
                <w:rFonts w:ascii="Calibri" w:eastAsia="Times New Roman" w:hAnsi="Calibri" w:cs="Calibri"/>
                <w:b/>
                <w:bCs/>
                <w:color w:val="000000"/>
                <w:kern w:val="0"/>
                <w:sz w:val="22"/>
                <w:szCs w:val="22"/>
                <w14:ligatures w14:val="none"/>
              </w:rPr>
            </w:pPr>
            <w:r w:rsidRPr="00674DB5">
              <w:rPr>
                <w:rFonts w:ascii="Calibri" w:eastAsia="Times New Roman" w:hAnsi="Calibri" w:cs="Calibri"/>
                <w:b/>
                <w:bCs/>
                <w:color w:val="000000"/>
                <w:kern w:val="0"/>
                <w:sz w:val="22"/>
                <w:szCs w:val="22"/>
                <w14:ligatures w14:val="none"/>
              </w:rPr>
              <w:t>Impact Level</w:t>
            </w:r>
          </w:p>
        </w:tc>
        <w:tc>
          <w:tcPr>
            <w:tcW w:w="3560" w:type="dxa"/>
            <w:tcBorders>
              <w:top w:val="single" w:sz="4" w:space="0" w:color="auto"/>
              <w:left w:val="nil"/>
              <w:bottom w:val="single" w:sz="4" w:space="0" w:color="auto"/>
              <w:right w:val="single" w:sz="4" w:space="0" w:color="auto"/>
            </w:tcBorders>
            <w:shd w:val="clear" w:color="000000" w:fill="BFBFBF"/>
            <w:noWrap/>
            <w:vAlign w:val="bottom"/>
            <w:hideMark/>
          </w:tcPr>
          <w:p w14:paraId="53560FE2" w14:textId="77777777" w:rsidR="00674DB5" w:rsidRPr="00674DB5" w:rsidRDefault="00674DB5" w:rsidP="00674DB5">
            <w:pPr>
              <w:spacing w:after="0" w:line="240" w:lineRule="auto"/>
              <w:rPr>
                <w:rFonts w:ascii="Calibri" w:eastAsia="Times New Roman" w:hAnsi="Calibri" w:cs="Calibri"/>
                <w:b/>
                <w:bCs/>
                <w:color w:val="000000"/>
                <w:kern w:val="0"/>
                <w:sz w:val="22"/>
                <w:szCs w:val="22"/>
                <w14:ligatures w14:val="none"/>
              </w:rPr>
            </w:pPr>
            <w:r w:rsidRPr="00674DB5">
              <w:rPr>
                <w:rFonts w:ascii="Calibri" w:eastAsia="Times New Roman" w:hAnsi="Calibri" w:cs="Calibri"/>
                <w:b/>
                <w:bCs/>
                <w:color w:val="000000"/>
                <w:kern w:val="0"/>
                <w:sz w:val="22"/>
                <w:szCs w:val="22"/>
                <w14:ligatures w14:val="none"/>
              </w:rPr>
              <w:t>Estimated Downtime Cost (per day)</w:t>
            </w:r>
          </w:p>
        </w:tc>
      </w:tr>
      <w:tr w:rsidR="00674DB5" w:rsidRPr="00674DB5" w14:paraId="0066BF22" w14:textId="77777777" w:rsidTr="00674DB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5E94F58"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Secure Communications</w:t>
            </w:r>
          </w:p>
        </w:tc>
        <w:tc>
          <w:tcPr>
            <w:tcW w:w="1420" w:type="dxa"/>
            <w:tcBorders>
              <w:top w:val="nil"/>
              <w:left w:val="nil"/>
              <w:bottom w:val="single" w:sz="4" w:space="0" w:color="auto"/>
              <w:right w:val="single" w:sz="4" w:space="0" w:color="auto"/>
            </w:tcBorders>
            <w:shd w:val="clear" w:color="auto" w:fill="auto"/>
            <w:noWrap/>
            <w:vAlign w:val="bottom"/>
            <w:hideMark/>
          </w:tcPr>
          <w:p w14:paraId="32959074"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High</w:t>
            </w:r>
          </w:p>
        </w:tc>
        <w:tc>
          <w:tcPr>
            <w:tcW w:w="3560" w:type="dxa"/>
            <w:tcBorders>
              <w:top w:val="nil"/>
              <w:left w:val="nil"/>
              <w:bottom w:val="single" w:sz="4" w:space="0" w:color="auto"/>
              <w:right w:val="single" w:sz="4" w:space="0" w:color="auto"/>
            </w:tcBorders>
            <w:shd w:val="clear" w:color="auto" w:fill="auto"/>
            <w:noWrap/>
            <w:vAlign w:val="bottom"/>
            <w:hideMark/>
          </w:tcPr>
          <w:p w14:paraId="2ED36F6F"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$3 million</w:t>
            </w:r>
          </w:p>
        </w:tc>
      </w:tr>
      <w:tr w:rsidR="00674DB5" w:rsidRPr="00674DB5" w14:paraId="3390B5B7" w14:textId="77777777" w:rsidTr="00674DB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0BF2B9C"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Encrypted Data Storage</w:t>
            </w:r>
          </w:p>
        </w:tc>
        <w:tc>
          <w:tcPr>
            <w:tcW w:w="1420" w:type="dxa"/>
            <w:tcBorders>
              <w:top w:val="nil"/>
              <w:left w:val="nil"/>
              <w:bottom w:val="single" w:sz="4" w:space="0" w:color="auto"/>
              <w:right w:val="single" w:sz="4" w:space="0" w:color="auto"/>
            </w:tcBorders>
            <w:shd w:val="clear" w:color="auto" w:fill="auto"/>
            <w:noWrap/>
            <w:vAlign w:val="bottom"/>
            <w:hideMark/>
          </w:tcPr>
          <w:p w14:paraId="40F8B240"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Critical</w:t>
            </w:r>
          </w:p>
        </w:tc>
        <w:tc>
          <w:tcPr>
            <w:tcW w:w="3560" w:type="dxa"/>
            <w:tcBorders>
              <w:top w:val="nil"/>
              <w:left w:val="nil"/>
              <w:bottom w:val="single" w:sz="4" w:space="0" w:color="auto"/>
              <w:right w:val="single" w:sz="4" w:space="0" w:color="auto"/>
            </w:tcBorders>
            <w:shd w:val="clear" w:color="auto" w:fill="auto"/>
            <w:noWrap/>
            <w:vAlign w:val="bottom"/>
            <w:hideMark/>
          </w:tcPr>
          <w:p w14:paraId="1FDB1A67"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$7 million</w:t>
            </w:r>
          </w:p>
        </w:tc>
      </w:tr>
      <w:tr w:rsidR="00674DB5" w:rsidRPr="00674DB5" w14:paraId="43967C46" w14:textId="77777777" w:rsidTr="00674DB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197EE38"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AI-Driven Battlefield Analytics</w:t>
            </w:r>
          </w:p>
        </w:tc>
        <w:tc>
          <w:tcPr>
            <w:tcW w:w="1420" w:type="dxa"/>
            <w:tcBorders>
              <w:top w:val="nil"/>
              <w:left w:val="nil"/>
              <w:bottom w:val="single" w:sz="4" w:space="0" w:color="auto"/>
              <w:right w:val="single" w:sz="4" w:space="0" w:color="auto"/>
            </w:tcBorders>
            <w:shd w:val="clear" w:color="auto" w:fill="auto"/>
            <w:noWrap/>
            <w:vAlign w:val="bottom"/>
            <w:hideMark/>
          </w:tcPr>
          <w:p w14:paraId="4C9AB1C9"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Medium</w:t>
            </w:r>
          </w:p>
        </w:tc>
        <w:tc>
          <w:tcPr>
            <w:tcW w:w="3560" w:type="dxa"/>
            <w:tcBorders>
              <w:top w:val="nil"/>
              <w:left w:val="nil"/>
              <w:bottom w:val="single" w:sz="4" w:space="0" w:color="auto"/>
              <w:right w:val="single" w:sz="4" w:space="0" w:color="auto"/>
            </w:tcBorders>
            <w:shd w:val="clear" w:color="auto" w:fill="auto"/>
            <w:noWrap/>
            <w:vAlign w:val="bottom"/>
            <w:hideMark/>
          </w:tcPr>
          <w:p w14:paraId="65A344E2"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$2 million</w:t>
            </w:r>
          </w:p>
        </w:tc>
      </w:tr>
      <w:tr w:rsidR="00674DB5" w:rsidRPr="00674DB5" w14:paraId="072AABC4" w14:textId="77777777" w:rsidTr="00674DB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F2A7207"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Zero-Trust Authentication</w:t>
            </w:r>
          </w:p>
        </w:tc>
        <w:tc>
          <w:tcPr>
            <w:tcW w:w="1420" w:type="dxa"/>
            <w:tcBorders>
              <w:top w:val="nil"/>
              <w:left w:val="nil"/>
              <w:bottom w:val="single" w:sz="4" w:space="0" w:color="auto"/>
              <w:right w:val="single" w:sz="4" w:space="0" w:color="auto"/>
            </w:tcBorders>
            <w:shd w:val="clear" w:color="auto" w:fill="auto"/>
            <w:noWrap/>
            <w:vAlign w:val="bottom"/>
            <w:hideMark/>
          </w:tcPr>
          <w:p w14:paraId="1A656644"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High</w:t>
            </w:r>
          </w:p>
        </w:tc>
        <w:tc>
          <w:tcPr>
            <w:tcW w:w="3560" w:type="dxa"/>
            <w:tcBorders>
              <w:top w:val="nil"/>
              <w:left w:val="nil"/>
              <w:bottom w:val="single" w:sz="4" w:space="0" w:color="auto"/>
              <w:right w:val="single" w:sz="4" w:space="0" w:color="auto"/>
            </w:tcBorders>
            <w:shd w:val="clear" w:color="auto" w:fill="auto"/>
            <w:noWrap/>
            <w:vAlign w:val="bottom"/>
            <w:hideMark/>
          </w:tcPr>
          <w:p w14:paraId="3F10EB96"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$4 million</w:t>
            </w:r>
          </w:p>
        </w:tc>
      </w:tr>
      <w:tr w:rsidR="00674DB5" w:rsidRPr="00674DB5" w14:paraId="1802F1E7" w14:textId="77777777" w:rsidTr="00674DB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C429E"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Tactical Network Orchestration</w:t>
            </w:r>
          </w:p>
        </w:tc>
        <w:tc>
          <w:tcPr>
            <w:tcW w:w="1420" w:type="dxa"/>
            <w:tcBorders>
              <w:top w:val="nil"/>
              <w:left w:val="nil"/>
              <w:bottom w:val="single" w:sz="4" w:space="0" w:color="auto"/>
              <w:right w:val="single" w:sz="4" w:space="0" w:color="auto"/>
            </w:tcBorders>
            <w:shd w:val="clear" w:color="auto" w:fill="auto"/>
            <w:noWrap/>
            <w:vAlign w:val="bottom"/>
            <w:hideMark/>
          </w:tcPr>
          <w:p w14:paraId="706454A7"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Critical</w:t>
            </w:r>
          </w:p>
        </w:tc>
        <w:tc>
          <w:tcPr>
            <w:tcW w:w="3560" w:type="dxa"/>
            <w:tcBorders>
              <w:top w:val="nil"/>
              <w:left w:val="nil"/>
              <w:bottom w:val="single" w:sz="4" w:space="0" w:color="auto"/>
              <w:right w:val="single" w:sz="4" w:space="0" w:color="auto"/>
            </w:tcBorders>
            <w:shd w:val="clear" w:color="auto" w:fill="auto"/>
            <w:noWrap/>
            <w:vAlign w:val="bottom"/>
            <w:hideMark/>
          </w:tcPr>
          <w:p w14:paraId="54107FC8" w14:textId="77777777" w:rsidR="00674DB5" w:rsidRPr="00674DB5" w:rsidRDefault="00674DB5" w:rsidP="00674DB5">
            <w:pPr>
              <w:spacing w:after="0" w:line="240" w:lineRule="auto"/>
              <w:rPr>
                <w:rFonts w:ascii="Calibri" w:eastAsia="Times New Roman" w:hAnsi="Calibri" w:cs="Calibri"/>
                <w:color w:val="000000"/>
                <w:kern w:val="0"/>
                <w:sz w:val="22"/>
                <w:szCs w:val="22"/>
                <w14:ligatures w14:val="none"/>
              </w:rPr>
            </w:pPr>
            <w:r w:rsidRPr="00674DB5">
              <w:rPr>
                <w:rFonts w:ascii="Calibri" w:eastAsia="Times New Roman" w:hAnsi="Calibri" w:cs="Calibri"/>
                <w:color w:val="000000"/>
                <w:kern w:val="0"/>
                <w:sz w:val="22"/>
                <w:szCs w:val="22"/>
                <w14:ligatures w14:val="none"/>
              </w:rPr>
              <w:t>$5 million</w:t>
            </w:r>
          </w:p>
        </w:tc>
      </w:tr>
    </w:tbl>
    <w:p w14:paraId="356F3D4E" w14:textId="77777777" w:rsidR="00674DB5" w:rsidRPr="0063721B" w:rsidRDefault="00674DB5" w:rsidP="0063721B">
      <w:pPr>
        <w:rPr>
          <w:rFonts w:ascii="Calibri" w:hAnsi="Calibri" w:cs="Calibri"/>
          <w:b/>
          <w:bCs/>
          <w:sz w:val="22"/>
          <w:szCs w:val="22"/>
        </w:rPr>
      </w:pPr>
    </w:p>
    <w:p w14:paraId="6634CD0A" w14:textId="77777777" w:rsidR="0063721B" w:rsidRPr="0063721B" w:rsidRDefault="0063721B" w:rsidP="0063721B">
      <w:pPr>
        <w:rPr>
          <w:rFonts w:ascii="Calibri" w:hAnsi="Calibri" w:cs="Calibri"/>
          <w:b/>
          <w:bCs/>
          <w:sz w:val="22"/>
          <w:szCs w:val="22"/>
        </w:rPr>
      </w:pPr>
      <w:r w:rsidRPr="0063721B">
        <w:rPr>
          <w:rFonts w:ascii="Calibri" w:hAnsi="Calibri" w:cs="Calibri"/>
          <w:b/>
          <w:bCs/>
          <w:sz w:val="22"/>
          <w:szCs w:val="22"/>
        </w:rPr>
        <w:t>Recovery Objectives</w:t>
      </w:r>
    </w:p>
    <w:p w14:paraId="12AAD446" w14:textId="77777777" w:rsidR="0063721B" w:rsidRPr="0063721B" w:rsidRDefault="0063721B" w:rsidP="0063721B">
      <w:pPr>
        <w:numPr>
          <w:ilvl w:val="0"/>
          <w:numId w:val="21"/>
        </w:numPr>
        <w:rPr>
          <w:rFonts w:ascii="Calibri" w:hAnsi="Calibri" w:cs="Calibri"/>
          <w:sz w:val="22"/>
          <w:szCs w:val="22"/>
        </w:rPr>
      </w:pPr>
      <w:r w:rsidRPr="0063721B">
        <w:rPr>
          <w:rFonts w:ascii="Calibri" w:hAnsi="Calibri" w:cs="Calibri"/>
          <w:b/>
          <w:bCs/>
          <w:sz w:val="22"/>
          <w:szCs w:val="22"/>
        </w:rPr>
        <w:t>Recovery Time Objective (RTO):</w:t>
      </w:r>
    </w:p>
    <w:p w14:paraId="3E9E3A87"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Secure Communications: 2 hours</w:t>
      </w:r>
    </w:p>
    <w:p w14:paraId="57381041"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Encrypted Data Storage: 4 hours</w:t>
      </w:r>
    </w:p>
    <w:p w14:paraId="1CD464D5"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AI-Driven Battlefield Analytics: 8 hours</w:t>
      </w:r>
    </w:p>
    <w:p w14:paraId="1B2D0357"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Zero-Trust Authentication: 2 hours</w:t>
      </w:r>
    </w:p>
    <w:p w14:paraId="28E5F0C8"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Tactical Network Orchestration: 4 hours</w:t>
      </w:r>
    </w:p>
    <w:p w14:paraId="1852E9C6" w14:textId="77777777" w:rsidR="0063721B" w:rsidRPr="0063721B" w:rsidRDefault="0063721B" w:rsidP="0063721B">
      <w:pPr>
        <w:numPr>
          <w:ilvl w:val="0"/>
          <w:numId w:val="21"/>
        </w:numPr>
        <w:rPr>
          <w:rFonts w:ascii="Calibri" w:hAnsi="Calibri" w:cs="Calibri"/>
          <w:sz w:val="22"/>
          <w:szCs w:val="22"/>
        </w:rPr>
      </w:pPr>
      <w:r w:rsidRPr="0063721B">
        <w:rPr>
          <w:rFonts w:ascii="Calibri" w:hAnsi="Calibri" w:cs="Calibri"/>
          <w:b/>
          <w:bCs/>
          <w:sz w:val="22"/>
          <w:szCs w:val="22"/>
        </w:rPr>
        <w:t>Recovery Point Objective (RPO):</w:t>
      </w:r>
    </w:p>
    <w:p w14:paraId="3FDEFE7D"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Secure Communications: Near-zero data loss</w:t>
      </w:r>
    </w:p>
    <w:p w14:paraId="68D5C5AB"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lastRenderedPageBreak/>
        <w:t>Encrypted Data Storage: Near-zero data loss</w:t>
      </w:r>
    </w:p>
    <w:p w14:paraId="6C0D1D2A"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AI-Driven Battlefield Analytics: 15 minutes</w:t>
      </w:r>
    </w:p>
    <w:p w14:paraId="4E24D19D" w14:textId="77777777" w:rsidR="0063721B" w:rsidRPr="0063721B" w:rsidRDefault="0063721B" w:rsidP="0063721B">
      <w:pPr>
        <w:numPr>
          <w:ilvl w:val="1"/>
          <w:numId w:val="21"/>
        </w:numPr>
        <w:rPr>
          <w:rFonts w:ascii="Calibri" w:hAnsi="Calibri" w:cs="Calibri"/>
          <w:sz w:val="22"/>
          <w:szCs w:val="22"/>
        </w:rPr>
      </w:pPr>
      <w:r w:rsidRPr="0063721B">
        <w:rPr>
          <w:rFonts w:ascii="Calibri" w:hAnsi="Calibri" w:cs="Calibri"/>
          <w:sz w:val="22"/>
          <w:szCs w:val="22"/>
        </w:rPr>
        <w:t>Zero-Trust Authentication: Near-zero data loss</w:t>
      </w:r>
    </w:p>
    <w:p w14:paraId="758A4987" w14:textId="77777777" w:rsidR="0063721B" w:rsidRPr="00373F21" w:rsidRDefault="0063721B" w:rsidP="0063721B">
      <w:pPr>
        <w:numPr>
          <w:ilvl w:val="1"/>
          <w:numId w:val="21"/>
        </w:numPr>
        <w:rPr>
          <w:rFonts w:ascii="Calibri" w:hAnsi="Calibri" w:cs="Calibri"/>
          <w:sz w:val="22"/>
          <w:szCs w:val="22"/>
        </w:rPr>
      </w:pPr>
      <w:r w:rsidRPr="0063721B">
        <w:rPr>
          <w:rFonts w:ascii="Calibri" w:hAnsi="Calibri" w:cs="Calibri"/>
          <w:sz w:val="22"/>
          <w:szCs w:val="22"/>
        </w:rPr>
        <w:t>Tactical Network Orchestration: 30 minutes</w:t>
      </w:r>
    </w:p>
    <w:p w14:paraId="53890F1B" w14:textId="77777777" w:rsidR="00DA7998" w:rsidRPr="00DA7998" w:rsidRDefault="00DA7998" w:rsidP="00DA7998">
      <w:pPr>
        <w:rPr>
          <w:rFonts w:ascii="Calibri" w:hAnsi="Calibri" w:cs="Calibri"/>
          <w:b/>
          <w:bCs/>
          <w:sz w:val="22"/>
          <w:szCs w:val="22"/>
        </w:rPr>
      </w:pPr>
      <w:r w:rsidRPr="00DA7998">
        <w:rPr>
          <w:rFonts w:ascii="Calibri" w:hAnsi="Calibri" w:cs="Calibri"/>
          <w:b/>
          <w:bCs/>
          <w:sz w:val="22"/>
          <w:szCs w:val="22"/>
        </w:rPr>
        <w:t>Importance of an Internal DFIR Team</w:t>
      </w:r>
    </w:p>
    <w:p w14:paraId="4C15519B" w14:textId="63A5700C" w:rsidR="00DA7998" w:rsidRPr="00DA7998" w:rsidRDefault="00DA7998" w:rsidP="00DA7998">
      <w:pPr>
        <w:rPr>
          <w:rFonts w:ascii="Calibri" w:hAnsi="Calibri" w:cs="Calibri"/>
          <w:sz w:val="22"/>
          <w:szCs w:val="22"/>
        </w:rPr>
      </w:pPr>
      <w:r w:rsidRPr="00DA7998">
        <w:rPr>
          <w:rFonts w:ascii="Calibri" w:hAnsi="Calibri" w:cs="Calibri"/>
          <w:sz w:val="22"/>
          <w:szCs w:val="22"/>
        </w:rPr>
        <w:t xml:space="preserve">Tantalum Defense Technologies operates in a high-risk environment where rapid and </w:t>
      </w:r>
      <w:r w:rsidR="0035051A" w:rsidRPr="00373F21">
        <w:rPr>
          <w:rFonts w:ascii="Calibri" w:hAnsi="Calibri" w:cs="Calibri"/>
          <w:sz w:val="22"/>
          <w:szCs w:val="22"/>
        </w:rPr>
        <w:t>effective</w:t>
      </w:r>
      <w:r w:rsidRPr="00DA7998">
        <w:rPr>
          <w:rFonts w:ascii="Calibri" w:hAnsi="Calibri" w:cs="Calibri"/>
          <w:sz w:val="22"/>
          <w:szCs w:val="22"/>
        </w:rPr>
        <w:t xml:space="preserve"> response is critical. A dedicated internal Digital Forensics and Incident Response (DFIR) team ensures that the company can quickly detect, analyze, contain, and remediate security incidents without relying solely on external third-party providers. Below are the key reasons why having an internal DFIR team is essential:</w:t>
      </w:r>
    </w:p>
    <w:p w14:paraId="68E87622" w14:textId="77777777" w:rsidR="00DA7998" w:rsidRPr="00DA7998" w:rsidRDefault="00DA7998" w:rsidP="00DA7998">
      <w:pPr>
        <w:rPr>
          <w:rFonts w:ascii="Calibri" w:hAnsi="Calibri" w:cs="Calibri"/>
          <w:sz w:val="22"/>
          <w:szCs w:val="22"/>
          <w:u w:val="single"/>
        </w:rPr>
      </w:pPr>
      <w:r w:rsidRPr="00DA7998">
        <w:rPr>
          <w:rFonts w:ascii="Calibri" w:hAnsi="Calibri" w:cs="Calibri"/>
          <w:sz w:val="22"/>
          <w:szCs w:val="22"/>
          <w:u w:val="single"/>
        </w:rPr>
        <w:t>1. Faster Incident Response and Mitigation</w:t>
      </w:r>
    </w:p>
    <w:p w14:paraId="3908D37D" w14:textId="77777777" w:rsidR="00DA7998" w:rsidRPr="00DA7998" w:rsidRDefault="00DA7998" w:rsidP="00DA7998">
      <w:pPr>
        <w:numPr>
          <w:ilvl w:val="0"/>
          <w:numId w:val="23"/>
        </w:numPr>
        <w:rPr>
          <w:rFonts w:ascii="Calibri" w:hAnsi="Calibri" w:cs="Calibri"/>
          <w:sz w:val="22"/>
          <w:szCs w:val="22"/>
        </w:rPr>
      </w:pPr>
      <w:r w:rsidRPr="00DA7998">
        <w:rPr>
          <w:rFonts w:ascii="Calibri" w:hAnsi="Calibri" w:cs="Calibri"/>
          <w:sz w:val="22"/>
          <w:szCs w:val="22"/>
        </w:rPr>
        <w:t>An internal DFIR team reduces the time needed to detect and contain security threats, minimizing the potential impact of a cyberattack.</w:t>
      </w:r>
    </w:p>
    <w:p w14:paraId="22A633C9" w14:textId="77777777" w:rsidR="00DA7998" w:rsidRPr="00DA7998" w:rsidRDefault="00DA7998" w:rsidP="00DA7998">
      <w:pPr>
        <w:numPr>
          <w:ilvl w:val="0"/>
          <w:numId w:val="23"/>
        </w:numPr>
        <w:rPr>
          <w:rFonts w:ascii="Calibri" w:hAnsi="Calibri" w:cs="Calibri"/>
          <w:sz w:val="22"/>
          <w:szCs w:val="22"/>
        </w:rPr>
      </w:pPr>
      <w:r w:rsidRPr="00DA7998">
        <w:rPr>
          <w:rFonts w:ascii="Calibri" w:hAnsi="Calibri" w:cs="Calibri"/>
          <w:sz w:val="22"/>
          <w:szCs w:val="22"/>
        </w:rPr>
        <w:t>Immediate response to threats ensures that tactical cloud-based DoD operations remain secure and operational.</w:t>
      </w:r>
    </w:p>
    <w:p w14:paraId="5D1D6389" w14:textId="77777777" w:rsidR="00DA7998" w:rsidRPr="00DA7998" w:rsidRDefault="00DA7998" w:rsidP="00DA7998">
      <w:pPr>
        <w:numPr>
          <w:ilvl w:val="0"/>
          <w:numId w:val="23"/>
        </w:numPr>
        <w:rPr>
          <w:rFonts w:ascii="Calibri" w:hAnsi="Calibri" w:cs="Calibri"/>
          <w:sz w:val="22"/>
          <w:szCs w:val="22"/>
        </w:rPr>
      </w:pPr>
      <w:r w:rsidRPr="00DA7998">
        <w:rPr>
          <w:rFonts w:ascii="Calibri" w:hAnsi="Calibri" w:cs="Calibri"/>
          <w:sz w:val="22"/>
          <w:szCs w:val="22"/>
        </w:rPr>
        <w:t>Internal expertise allows for real-time incident triage and forensic analysis without external delays.</w:t>
      </w:r>
    </w:p>
    <w:p w14:paraId="4B805D7A" w14:textId="77777777" w:rsidR="00DA7998" w:rsidRPr="00DA7998" w:rsidRDefault="00DA7998" w:rsidP="00DA7998">
      <w:pPr>
        <w:rPr>
          <w:rFonts w:ascii="Calibri" w:hAnsi="Calibri" w:cs="Calibri"/>
          <w:sz w:val="22"/>
          <w:szCs w:val="22"/>
          <w:u w:val="single"/>
        </w:rPr>
      </w:pPr>
      <w:r w:rsidRPr="00DA7998">
        <w:rPr>
          <w:rFonts w:ascii="Calibri" w:hAnsi="Calibri" w:cs="Calibri"/>
          <w:sz w:val="22"/>
          <w:szCs w:val="22"/>
          <w:u w:val="single"/>
        </w:rPr>
        <w:t>2. Enhanced Data Security and Confidentiality</w:t>
      </w:r>
    </w:p>
    <w:p w14:paraId="168F01F1" w14:textId="4668B400" w:rsidR="00DA7998" w:rsidRPr="00DA7998" w:rsidRDefault="00DA7998" w:rsidP="00DA7998">
      <w:pPr>
        <w:numPr>
          <w:ilvl w:val="0"/>
          <w:numId w:val="24"/>
        </w:numPr>
        <w:rPr>
          <w:rFonts w:ascii="Calibri" w:hAnsi="Calibri" w:cs="Calibri"/>
          <w:sz w:val="22"/>
          <w:szCs w:val="22"/>
        </w:rPr>
      </w:pPr>
      <w:r w:rsidRPr="00DA7998">
        <w:rPr>
          <w:rFonts w:ascii="Calibri" w:hAnsi="Calibri" w:cs="Calibri"/>
          <w:sz w:val="22"/>
          <w:szCs w:val="22"/>
        </w:rPr>
        <w:t xml:space="preserve">As a defense contractor, Tantalum Defense Technologies handles </w:t>
      </w:r>
      <w:r w:rsidR="00263EA7" w:rsidRPr="00DA7998">
        <w:rPr>
          <w:rFonts w:ascii="Calibri" w:hAnsi="Calibri" w:cs="Calibri"/>
          <w:sz w:val="22"/>
          <w:szCs w:val="22"/>
        </w:rPr>
        <w:t>sensitive</w:t>
      </w:r>
      <w:r w:rsidRPr="00DA7998">
        <w:rPr>
          <w:rFonts w:ascii="Calibri" w:hAnsi="Calibri" w:cs="Calibri"/>
          <w:sz w:val="22"/>
          <w:szCs w:val="22"/>
        </w:rPr>
        <w:t xml:space="preserve"> DoD data that should not be exposed to third-party DFIR providers.</w:t>
      </w:r>
    </w:p>
    <w:p w14:paraId="074A2E41" w14:textId="77777777" w:rsidR="00DA7998" w:rsidRPr="00DA7998" w:rsidRDefault="00DA7998" w:rsidP="00DA7998">
      <w:pPr>
        <w:numPr>
          <w:ilvl w:val="0"/>
          <w:numId w:val="24"/>
        </w:numPr>
        <w:rPr>
          <w:rFonts w:ascii="Calibri" w:hAnsi="Calibri" w:cs="Calibri"/>
          <w:sz w:val="22"/>
          <w:szCs w:val="22"/>
        </w:rPr>
      </w:pPr>
      <w:r w:rsidRPr="00DA7998">
        <w:rPr>
          <w:rFonts w:ascii="Calibri" w:hAnsi="Calibri" w:cs="Calibri"/>
          <w:sz w:val="22"/>
          <w:szCs w:val="22"/>
        </w:rPr>
        <w:t>Keeping incident response in-house ensures tighter control over classified information, reducing exposure to potential insider threats.</w:t>
      </w:r>
    </w:p>
    <w:p w14:paraId="43DD33D4" w14:textId="77777777" w:rsidR="00DA7998" w:rsidRPr="00DA7998" w:rsidRDefault="00DA7998" w:rsidP="00DA7998">
      <w:pPr>
        <w:rPr>
          <w:rFonts w:ascii="Calibri" w:hAnsi="Calibri" w:cs="Calibri"/>
          <w:sz w:val="22"/>
          <w:szCs w:val="22"/>
          <w:u w:val="single"/>
        </w:rPr>
      </w:pPr>
      <w:r w:rsidRPr="00DA7998">
        <w:rPr>
          <w:rFonts w:ascii="Calibri" w:hAnsi="Calibri" w:cs="Calibri"/>
          <w:sz w:val="22"/>
          <w:szCs w:val="22"/>
          <w:u w:val="single"/>
        </w:rPr>
        <w:t>3. Regulatory and Compliance Alignment</w:t>
      </w:r>
    </w:p>
    <w:p w14:paraId="181A190B" w14:textId="77777777" w:rsidR="00DA7998" w:rsidRPr="00DA7998" w:rsidRDefault="00DA7998" w:rsidP="00DA7998">
      <w:pPr>
        <w:numPr>
          <w:ilvl w:val="0"/>
          <w:numId w:val="25"/>
        </w:numPr>
        <w:rPr>
          <w:rFonts w:ascii="Calibri" w:hAnsi="Calibri" w:cs="Calibri"/>
          <w:sz w:val="22"/>
          <w:szCs w:val="22"/>
        </w:rPr>
      </w:pPr>
      <w:r w:rsidRPr="00DA7998">
        <w:rPr>
          <w:rFonts w:ascii="Calibri" w:hAnsi="Calibri" w:cs="Calibri"/>
          <w:sz w:val="22"/>
          <w:szCs w:val="22"/>
        </w:rPr>
        <w:t>The DoD enforces strict cybersecurity regulations, including DFARS, CMMC, and FISMA, which require stringent incident response measures.</w:t>
      </w:r>
    </w:p>
    <w:p w14:paraId="3C3F8A59" w14:textId="77777777" w:rsidR="00DA7998" w:rsidRPr="00DA7998" w:rsidRDefault="00DA7998" w:rsidP="00DA7998">
      <w:pPr>
        <w:numPr>
          <w:ilvl w:val="0"/>
          <w:numId w:val="25"/>
        </w:numPr>
        <w:rPr>
          <w:rFonts w:ascii="Calibri" w:hAnsi="Calibri" w:cs="Calibri"/>
          <w:sz w:val="22"/>
          <w:szCs w:val="22"/>
        </w:rPr>
      </w:pPr>
      <w:r w:rsidRPr="00DA7998">
        <w:rPr>
          <w:rFonts w:ascii="Calibri" w:hAnsi="Calibri" w:cs="Calibri"/>
          <w:sz w:val="22"/>
          <w:szCs w:val="22"/>
        </w:rPr>
        <w:t>An internal DFIR team ensures compliance with federal cybersecurity mandates, reducing the risk of penalties or contract revocations.</w:t>
      </w:r>
    </w:p>
    <w:p w14:paraId="6CAB3984" w14:textId="77777777" w:rsidR="00DA7998" w:rsidRPr="00DA7998" w:rsidRDefault="00DA7998" w:rsidP="00DA7998">
      <w:pPr>
        <w:rPr>
          <w:rFonts w:ascii="Calibri" w:hAnsi="Calibri" w:cs="Calibri"/>
          <w:sz w:val="22"/>
          <w:szCs w:val="22"/>
          <w:u w:val="single"/>
        </w:rPr>
      </w:pPr>
      <w:r w:rsidRPr="00DA7998">
        <w:rPr>
          <w:rFonts w:ascii="Calibri" w:hAnsi="Calibri" w:cs="Calibri"/>
          <w:sz w:val="22"/>
          <w:szCs w:val="22"/>
          <w:u w:val="single"/>
        </w:rPr>
        <w:t>4. Proactive Threat Hunting and Risk Management</w:t>
      </w:r>
    </w:p>
    <w:p w14:paraId="7FCA7E33" w14:textId="77777777" w:rsidR="00DA7998" w:rsidRPr="00DA7998" w:rsidRDefault="00DA7998" w:rsidP="00DA7998">
      <w:pPr>
        <w:numPr>
          <w:ilvl w:val="0"/>
          <w:numId w:val="26"/>
        </w:numPr>
        <w:rPr>
          <w:rFonts w:ascii="Calibri" w:hAnsi="Calibri" w:cs="Calibri"/>
          <w:sz w:val="22"/>
          <w:szCs w:val="22"/>
        </w:rPr>
      </w:pPr>
      <w:r w:rsidRPr="00DA7998">
        <w:rPr>
          <w:rFonts w:ascii="Calibri" w:hAnsi="Calibri" w:cs="Calibri"/>
          <w:sz w:val="22"/>
          <w:szCs w:val="22"/>
        </w:rPr>
        <w:t>DFIR teams not only respond to incidents but also proactively hunt for threats within Tantalum Defense Technologies’ network.</w:t>
      </w:r>
    </w:p>
    <w:p w14:paraId="16587778" w14:textId="77777777" w:rsidR="00DA7998" w:rsidRPr="00DA7998" w:rsidRDefault="00DA7998" w:rsidP="00DA7998">
      <w:pPr>
        <w:numPr>
          <w:ilvl w:val="0"/>
          <w:numId w:val="26"/>
        </w:numPr>
        <w:rPr>
          <w:rFonts w:ascii="Calibri" w:hAnsi="Calibri" w:cs="Calibri"/>
          <w:sz w:val="22"/>
          <w:szCs w:val="22"/>
        </w:rPr>
      </w:pPr>
      <w:r w:rsidRPr="00DA7998">
        <w:rPr>
          <w:rFonts w:ascii="Calibri" w:hAnsi="Calibri" w:cs="Calibri"/>
          <w:sz w:val="22"/>
          <w:szCs w:val="22"/>
        </w:rPr>
        <w:t>They can identify vulnerabilities before attackers exploit them, reducing the risk of zero-day attacks and persistent threats.</w:t>
      </w:r>
    </w:p>
    <w:p w14:paraId="5AEC03B2" w14:textId="77777777" w:rsidR="00DA7998" w:rsidRPr="00DA7998" w:rsidRDefault="00DA7998" w:rsidP="00DA7998">
      <w:pPr>
        <w:rPr>
          <w:rFonts w:ascii="Calibri" w:hAnsi="Calibri" w:cs="Calibri"/>
          <w:sz w:val="22"/>
          <w:szCs w:val="22"/>
          <w:u w:val="single"/>
        </w:rPr>
      </w:pPr>
      <w:r w:rsidRPr="00DA7998">
        <w:rPr>
          <w:rFonts w:ascii="Calibri" w:hAnsi="Calibri" w:cs="Calibri"/>
          <w:sz w:val="22"/>
          <w:szCs w:val="22"/>
          <w:u w:val="single"/>
        </w:rPr>
        <w:t>5. Cost Savings and Long-Term ROI</w:t>
      </w:r>
    </w:p>
    <w:p w14:paraId="2B5699FC" w14:textId="77777777" w:rsidR="00DA7998" w:rsidRPr="00DA7998" w:rsidRDefault="00DA7998" w:rsidP="00DA7998">
      <w:pPr>
        <w:numPr>
          <w:ilvl w:val="0"/>
          <w:numId w:val="27"/>
        </w:numPr>
        <w:rPr>
          <w:rFonts w:ascii="Calibri" w:hAnsi="Calibri" w:cs="Calibri"/>
          <w:sz w:val="22"/>
          <w:szCs w:val="22"/>
        </w:rPr>
      </w:pPr>
      <w:r w:rsidRPr="00DA7998">
        <w:rPr>
          <w:rFonts w:ascii="Calibri" w:hAnsi="Calibri" w:cs="Calibri"/>
          <w:sz w:val="22"/>
          <w:szCs w:val="22"/>
        </w:rPr>
        <w:lastRenderedPageBreak/>
        <w:t>While developing an internal DFIR team requires upfront investment, it significantly reduces long-term costs associated with third-party response teams, incident-related downtime, and regulatory fines.</w:t>
      </w:r>
    </w:p>
    <w:p w14:paraId="345E159D" w14:textId="77777777" w:rsidR="00DA7998" w:rsidRPr="00373F21" w:rsidRDefault="00DA7998" w:rsidP="00DA7998">
      <w:pPr>
        <w:numPr>
          <w:ilvl w:val="0"/>
          <w:numId w:val="27"/>
        </w:numPr>
        <w:rPr>
          <w:rFonts w:ascii="Calibri" w:hAnsi="Calibri" w:cs="Calibri"/>
          <w:sz w:val="22"/>
          <w:szCs w:val="22"/>
        </w:rPr>
      </w:pPr>
      <w:r w:rsidRPr="00DA7998">
        <w:rPr>
          <w:rFonts w:ascii="Calibri" w:hAnsi="Calibri" w:cs="Calibri"/>
          <w:sz w:val="22"/>
          <w:szCs w:val="22"/>
        </w:rPr>
        <w:t>Having a dedicated team enables faster resolution, reducing financial losses from prolonged service disruptions.</w:t>
      </w:r>
    </w:p>
    <w:p w14:paraId="44821C7B" w14:textId="728EF6FF" w:rsidR="00D32CA9" w:rsidRPr="00DA7998" w:rsidRDefault="00D32CA9" w:rsidP="00D32CA9">
      <w:pPr>
        <w:rPr>
          <w:rFonts w:ascii="Calibri" w:hAnsi="Calibri" w:cs="Calibri"/>
          <w:sz w:val="22"/>
          <w:szCs w:val="22"/>
          <w:u w:val="single"/>
        </w:rPr>
      </w:pPr>
      <w:r w:rsidRPr="00373F21">
        <w:rPr>
          <w:rFonts w:ascii="Calibri" w:hAnsi="Calibri" w:cs="Calibri"/>
          <w:sz w:val="22"/>
          <w:szCs w:val="22"/>
          <w:u w:val="single"/>
        </w:rPr>
        <w:t>Benefits of an internal DFIR Team</w:t>
      </w:r>
    </w:p>
    <w:tbl>
      <w:tblPr>
        <w:tblW w:w="10520" w:type="dxa"/>
        <w:tblLook w:val="04A0" w:firstRow="1" w:lastRow="0" w:firstColumn="1" w:lastColumn="0" w:noHBand="0" w:noVBand="1"/>
      </w:tblPr>
      <w:tblGrid>
        <w:gridCol w:w="3040"/>
        <w:gridCol w:w="7480"/>
      </w:tblGrid>
      <w:tr w:rsidR="00362393" w:rsidRPr="00362393" w14:paraId="7B745DD0" w14:textId="77777777" w:rsidTr="00362393">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D93A388" w14:textId="77777777" w:rsidR="00362393" w:rsidRPr="00362393" w:rsidRDefault="00362393" w:rsidP="00362393">
            <w:pPr>
              <w:spacing w:after="0" w:line="240" w:lineRule="auto"/>
              <w:rPr>
                <w:rFonts w:ascii="Calibri" w:eastAsia="Times New Roman" w:hAnsi="Calibri" w:cs="Calibri"/>
                <w:b/>
                <w:bCs/>
                <w:color w:val="000000"/>
                <w:kern w:val="0"/>
                <w:sz w:val="22"/>
                <w:szCs w:val="22"/>
                <w14:ligatures w14:val="none"/>
              </w:rPr>
            </w:pPr>
            <w:r w:rsidRPr="00362393">
              <w:rPr>
                <w:rFonts w:ascii="Calibri" w:eastAsia="Times New Roman" w:hAnsi="Calibri" w:cs="Calibri"/>
                <w:b/>
                <w:bCs/>
                <w:color w:val="000000"/>
                <w:kern w:val="0"/>
                <w:sz w:val="22"/>
                <w:szCs w:val="22"/>
                <w14:ligatures w14:val="none"/>
              </w:rPr>
              <w:t>Benefit</w:t>
            </w:r>
          </w:p>
        </w:tc>
        <w:tc>
          <w:tcPr>
            <w:tcW w:w="7480" w:type="dxa"/>
            <w:tcBorders>
              <w:top w:val="single" w:sz="4" w:space="0" w:color="auto"/>
              <w:left w:val="nil"/>
              <w:bottom w:val="single" w:sz="4" w:space="0" w:color="auto"/>
              <w:right w:val="single" w:sz="4" w:space="0" w:color="auto"/>
            </w:tcBorders>
            <w:shd w:val="clear" w:color="000000" w:fill="BFBFBF"/>
            <w:noWrap/>
            <w:vAlign w:val="bottom"/>
            <w:hideMark/>
          </w:tcPr>
          <w:p w14:paraId="03F57ACB" w14:textId="77777777" w:rsidR="00362393" w:rsidRPr="00362393" w:rsidRDefault="00362393" w:rsidP="00362393">
            <w:pPr>
              <w:spacing w:after="0" w:line="240" w:lineRule="auto"/>
              <w:rPr>
                <w:rFonts w:ascii="Calibri" w:eastAsia="Times New Roman" w:hAnsi="Calibri" w:cs="Calibri"/>
                <w:b/>
                <w:bCs/>
                <w:color w:val="000000"/>
                <w:kern w:val="0"/>
                <w:sz w:val="22"/>
                <w:szCs w:val="22"/>
                <w14:ligatures w14:val="none"/>
              </w:rPr>
            </w:pPr>
            <w:r w:rsidRPr="00362393">
              <w:rPr>
                <w:rFonts w:ascii="Calibri" w:eastAsia="Times New Roman" w:hAnsi="Calibri" w:cs="Calibri"/>
                <w:b/>
                <w:bCs/>
                <w:color w:val="000000"/>
                <w:kern w:val="0"/>
                <w:sz w:val="22"/>
                <w:szCs w:val="22"/>
                <w14:ligatures w14:val="none"/>
              </w:rPr>
              <w:t>Description</w:t>
            </w:r>
          </w:p>
        </w:tc>
      </w:tr>
      <w:tr w:rsidR="00362393" w:rsidRPr="00362393" w14:paraId="5FB0B511" w14:textId="77777777" w:rsidTr="0036239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3FEAE0"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Faster Response Time</w:t>
            </w:r>
          </w:p>
        </w:tc>
        <w:tc>
          <w:tcPr>
            <w:tcW w:w="7480" w:type="dxa"/>
            <w:tcBorders>
              <w:top w:val="nil"/>
              <w:left w:val="nil"/>
              <w:bottom w:val="single" w:sz="4" w:space="0" w:color="auto"/>
              <w:right w:val="single" w:sz="4" w:space="0" w:color="auto"/>
            </w:tcBorders>
            <w:shd w:val="clear" w:color="auto" w:fill="auto"/>
            <w:noWrap/>
            <w:vAlign w:val="bottom"/>
            <w:hideMark/>
          </w:tcPr>
          <w:p w14:paraId="41226605"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Immediate detection and containment of threats.</w:t>
            </w:r>
          </w:p>
        </w:tc>
      </w:tr>
      <w:tr w:rsidR="00362393" w:rsidRPr="00362393" w14:paraId="156FD62E" w14:textId="77777777" w:rsidTr="0036239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91F328E"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Confidentiality</w:t>
            </w:r>
          </w:p>
        </w:tc>
        <w:tc>
          <w:tcPr>
            <w:tcW w:w="7480" w:type="dxa"/>
            <w:tcBorders>
              <w:top w:val="nil"/>
              <w:left w:val="nil"/>
              <w:bottom w:val="single" w:sz="4" w:space="0" w:color="auto"/>
              <w:right w:val="single" w:sz="4" w:space="0" w:color="auto"/>
            </w:tcBorders>
            <w:shd w:val="clear" w:color="auto" w:fill="auto"/>
            <w:noWrap/>
            <w:vAlign w:val="bottom"/>
            <w:hideMark/>
          </w:tcPr>
          <w:p w14:paraId="5CE34235"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Protects sensitive DoD data from exposure.</w:t>
            </w:r>
          </w:p>
        </w:tc>
      </w:tr>
      <w:tr w:rsidR="00362393" w:rsidRPr="00362393" w14:paraId="16164361" w14:textId="77777777" w:rsidTr="0036239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E785DE7"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Cost Efficiency</w:t>
            </w:r>
          </w:p>
        </w:tc>
        <w:tc>
          <w:tcPr>
            <w:tcW w:w="7480" w:type="dxa"/>
            <w:tcBorders>
              <w:top w:val="nil"/>
              <w:left w:val="nil"/>
              <w:bottom w:val="single" w:sz="4" w:space="0" w:color="auto"/>
              <w:right w:val="single" w:sz="4" w:space="0" w:color="auto"/>
            </w:tcBorders>
            <w:shd w:val="clear" w:color="auto" w:fill="auto"/>
            <w:noWrap/>
            <w:vAlign w:val="bottom"/>
            <w:hideMark/>
          </w:tcPr>
          <w:p w14:paraId="6AB753C9"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Reduces reliance on expensive external forensic services.</w:t>
            </w:r>
          </w:p>
        </w:tc>
      </w:tr>
      <w:tr w:rsidR="00362393" w:rsidRPr="00362393" w14:paraId="3B203B15" w14:textId="77777777" w:rsidTr="0036239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F238F4A"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Compliance Assurance</w:t>
            </w:r>
          </w:p>
        </w:tc>
        <w:tc>
          <w:tcPr>
            <w:tcW w:w="7480" w:type="dxa"/>
            <w:tcBorders>
              <w:top w:val="nil"/>
              <w:left w:val="nil"/>
              <w:bottom w:val="single" w:sz="4" w:space="0" w:color="auto"/>
              <w:right w:val="single" w:sz="4" w:space="0" w:color="auto"/>
            </w:tcBorders>
            <w:shd w:val="clear" w:color="auto" w:fill="auto"/>
            <w:noWrap/>
            <w:vAlign w:val="bottom"/>
            <w:hideMark/>
          </w:tcPr>
          <w:p w14:paraId="423D0CC8"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Ensures adherence to DoD regulations.</w:t>
            </w:r>
          </w:p>
        </w:tc>
      </w:tr>
      <w:tr w:rsidR="00362393" w:rsidRPr="00362393" w14:paraId="12E2FE26" w14:textId="77777777" w:rsidTr="0036239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E877A15"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Proactive Defense</w:t>
            </w:r>
          </w:p>
        </w:tc>
        <w:tc>
          <w:tcPr>
            <w:tcW w:w="7480" w:type="dxa"/>
            <w:tcBorders>
              <w:top w:val="nil"/>
              <w:left w:val="nil"/>
              <w:bottom w:val="single" w:sz="4" w:space="0" w:color="auto"/>
              <w:right w:val="single" w:sz="4" w:space="0" w:color="auto"/>
            </w:tcBorders>
            <w:shd w:val="clear" w:color="auto" w:fill="auto"/>
            <w:noWrap/>
            <w:vAlign w:val="bottom"/>
            <w:hideMark/>
          </w:tcPr>
          <w:p w14:paraId="0E634F39" w14:textId="77777777" w:rsidR="00362393" w:rsidRPr="00362393" w:rsidRDefault="00362393" w:rsidP="00362393">
            <w:pPr>
              <w:spacing w:after="0" w:line="240" w:lineRule="auto"/>
              <w:rPr>
                <w:rFonts w:ascii="Calibri" w:eastAsia="Times New Roman" w:hAnsi="Calibri" w:cs="Calibri"/>
                <w:color w:val="000000"/>
                <w:kern w:val="0"/>
                <w:sz w:val="22"/>
                <w:szCs w:val="22"/>
                <w14:ligatures w14:val="none"/>
              </w:rPr>
            </w:pPr>
            <w:r w:rsidRPr="00362393">
              <w:rPr>
                <w:rFonts w:ascii="Calibri" w:eastAsia="Times New Roman" w:hAnsi="Calibri" w:cs="Calibri"/>
                <w:color w:val="000000"/>
                <w:kern w:val="0"/>
                <w:sz w:val="22"/>
                <w:szCs w:val="22"/>
                <w14:ligatures w14:val="none"/>
              </w:rPr>
              <w:t>Enables continuous threat hunting and network monitoring to prevent breaches.</w:t>
            </w:r>
          </w:p>
        </w:tc>
      </w:tr>
    </w:tbl>
    <w:p w14:paraId="2DB0C63D" w14:textId="77777777" w:rsidR="00C86AD7" w:rsidRPr="0063721B" w:rsidRDefault="00C86AD7" w:rsidP="00C86AD7">
      <w:pPr>
        <w:rPr>
          <w:rFonts w:ascii="Calibri" w:hAnsi="Calibri" w:cs="Calibri"/>
          <w:sz w:val="22"/>
          <w:szCs w:val="22"/>
        </w:rPr>
      </w:pPr>
    </w:p>
    <w:p w14:paraId="7DEE4799" w14:textId="2F46B6C9" w:rsidR="00450405" w:rsidRPr="00373F21" w:rsidRDefault="00450405" w:rsidP="00240C76">
      <w:pPr>
        <w:rPr>
          <w:rFonts w:ascii="Calibri" w:hAnsi="Calibri" w:cs="Calibri"/>
          <w:b/>
          <w:bCs/>
          <w:sz w:val="22"/>
          <w:szCs w:val="22"/>
        </w:rPr>
      </w:pPr>
      <w:r w:rsidRPr="00373F21">
        <w:rPr>
          <w:rFonts w:ascii="Calibri" w:hAnsi="Calibri" w:cs="Calibri"/>
          <w:b/>
          <w:bCs/>
          <w:sz w:val="22"/>
          <w:szCs w:val="22"/>
        </w:rPr>
        <w:t xml:space="preserve">DFIR </w:t>
      </w:r>
      <w:r w:rsidR="00417BA9" w:rsidRPr="00373F21">
        <w:rPr>
          <w:rFonts w:ascii="Calibri" w:hAnsi="Calibri" w:cs="Calibri"/>
          <w:b/>
          <w:bCs/>
          <w:sz w:val="22"/>
          <w:szCs w:val="22"/>
        </w:rPr>
        <w:t>Approach/Processes</w:t>
      </w:r>
    </w:p>
    <w:p w14:paraId="6F7AEF8C" w14:textId="77777777" w:rsidR="001A0EEE" w:rsidRPr="00373F21" w:rsidRDefault="001A0EEE" w:rsidP="001A0EEE">
      <w:pPr>
        <w:spacing w:line="480" w:lineRule="auto"/>
        <w:rPr>
          <w:rFonts w:ascii="Calibri" w:hAnsi="Calibri" w:cs="Calibri"/>
          <w:sz w:val="22"/>
          <w:szCs w:val="22"/>
        </w:rPr>
      </w:pPr>
      <w:r w:rsidRPr="001A0EEE">
        <w:rPr>
          <w:rFonts w:ascii="Calibri" w:hAnsi="Calibri" w:cs="Calibri"/>
          <w:sz w:val="22"/>
          <w:szCs w:val="22"/>
        </w:rPr>
        <w:t>The Digital Forensics and Incident Response (DFIR) team at Tantalum Defense Technologies will follow a structured approach aligned with DoD cybersecurity regulations and industry best practices. The primary objective is to rapidly detect, contain, and recover from cyber incidents while maintaining compliance with frameworks such as NIST 800-171, CMMC, DFARS, and FISMA.</w:t>
      </w:r>
    </w:p>
    <w:p w14:paraId="6C11907C" w14:textId="77777777" w:rsidR="00FB5B5D" w:rsidRPr="00FB5B5D" w:rsidRDefault="00FB5B5D" w:rsidP="00FB5B5D">
      <w:pPr>
        <w:rPr>
          <w:rFonts w:ascii="Calibri" w:hAnsi="Calibri" w:cs="Calibri"/>
          <w:sz w:val="22"/>
          <w:szCs w:val="22"/>
          <w:u w:val="single"/>
        </w:rPr>
      </w:pPr>
      <w:r w:rsidRPr="00FB5B5D">
        <w:rPr>
          <w:rFonts w:ascii="Calibri" w:hAnsi="Calibri" w:cs="Calibri"/>
          <w:sz w:val="22"/>
          <w:szCs w:val="22"/>
          <w:u w:val="single"/>
        </w:rPr>
        <w:t>1. Incident Detection and Identification</w:t>
      </w:r>
    </w:p>
    <w:p w14:paraId="78E0E240" w14:textId="77777777" w:rsidR="00FB5B5D" w:rsidRPr="00373F21" w:rsidRDefault="00FB5B5D" w:rsidP="00FB5B5D">
      <w:pPr>
        <w:pStyle w:val="ListParagraph"/>
        <w:numPr>
          <w:ilvl w:val="0"/>
          <w:numId w:val="44"/>
        </w:numPr>
        <w:rPr>
          <w:rFonts w:ascii="Calibri" w:hAnsi="Calibri" w:cs="Calibri"/>
          <w:sz w:val="22"/>
          <w:szCs w:val="22"/>
        </w:rPr>
      </w:pPr>
      <w:r w:rsidRPr="00373F21">
        <w:rPr>
          <w:rFonts w:ascii="Calibri" w:hAnsi="Calibri" w:cs="Calibri"/>
          <w:sz w:val="22"/>
          <w:szCs w:val="22"/>
        </w:rPr>
        <w:t>Utilize Security Information and Event Management (SIEM) solutions to monitor network activity and detect anomalies.</w:t>
      </w:r>
    </w:p>
    <w:p w14:paraId="66549F2B" w14:textId="77777777" w:rsidR="00FB5B5D" w:rsidRPr="00373F21" w:rsidRDefault="00FB5B5D" w:rsidP="00FB5B5D">
      <w:pPr>
        <w:pStyle w:val="ListParagraph"/>
        <w:numPr>
          <w:ilvl w:val="0"/>
          <w:numId w:val="44"/>
        </w:numPr>
        <w:rPr>
          <w:rFonts w:ascii="Calibri" w:hAnsi="Calibri" w:cs="Calibri"/>
          <w:sz w:val="22"/>
          <w:szCs w:val="22"/>
        </w:rPr>
      </w:pPr>
      <w:r w:rsidRPr="00373F21">
        <w:rPr>
          <w:rFonts w:ascii="Calibri" w:hAnsi="Calibri" w:cs="Calibri"/>
          <w:sz w:val="22"/>
          <w:szCs w:val="22"/>
        </w:rPr>
        <w:t>Implement Endpoint Detection and Response (EDR) and Threat Intelligence Platforms for proactive threat hunting.</w:t>
      </w:r>
    </w:p>
    <w:p w14:paraId="576B2071" w14:textId="77777777" w:rsidR="00FB5B5D" w:rsidRPr="00373F21" w:rsidRDefault="00FB5B5D" w:rsidP="00FB5B5D">
      <w:pPr>
        <w:pStyle w:val="ListParagraph"/>
        <w:numPr>
          <w:ilvl w:val="0"/>
          <w:numId w:val="44"/>
        </w:numPr>
        <w:rPr>
          <w:rFonts w:ascii="Calibri" w:hAnsi="Calibri" w:cs="Calibri"/>
          <w:sz w:val="22"/>
          <w:szCs w:val="22"/>
        </w:rPr>
      </w:pPr>
      <w:r w:rsidRPr="00373F21">
        <w:rPr>
          <w:rFonts w:ascii="Calibri" w:hAnsi="Calibri" w:cs="Calibri"/>
          <w:sz w:val="22"/>
          <w:szCs w:val="22"/>
        </w:rPr>
        <w:t>Establish Automated Incident Detection Mechanisms based on MITRE ATT&amp;CK tactics and techniques.</w:t>
      </w:r>
    </w:p>
    <w:p w14:paraId="43C87780" w14:textId="77777777" w:rsidR="00FB5B5D" w:rsidRPr="00373F21" w:rsidRDefault="00FB5B5D" w:rsidP="00FB5B5D">
      <w:pPr>
        <w:pStyle w:val="ListParagraph"/>
        <w:numPr>
          <w:ilvl w:val="0"/>
          <w:numId w:val="44"/>
        </w:numPr>
        <w:rPr>
          <w:rFonts w:ascii="Calibri" w:hAnsi="Calibri" w:cs="Calibri"/>
          <w:sz w:val="22"/>
          <w:szCs w:val="22"/>
        </w:rPr>
      </w:pPr>
      <w:r w:rsidRPr="00373F21">
        <w:rPr>
          <w:rFonts w:ascii="Calibri" w:hAnsi="Calibri" w:cs="Calibri"/>
          <w:sz w:val="22"/>
          <w:szCs w:val="22"/>
        </w:rPr>
        <w:t>Conduct continuous log analysis and correlation to identify indicators of compromise (IOCs) in real-time.</w:t>
      </w:r>
    </w:p>
    <w:p w14:paraId="7C9D4B47" w14:textId="77777777" w:rsidR="00FB5B5D" w:rsidRPr="00FB5B5D" w:rsidRDefault="00FB5B5D" w:rsidP="00FB5B5D">
      <w:pPr>
        <w:rPr>
          <w:rFonts w:ascii="Calibri" w:hAnsi="Calibri" w:cs="Calibri"/>
          <w:sz w:val="22"/>
          <w:szCs w:val="22"/>
          <w:u w:val="single"/>
        </w:rPr>
      </w:pPr>
      <w:r w:rsidRPr="00FB5B5D">
        <w:rPr>
          <w:rFonts w:ascii="Calibri" w:hAnsi="Calibri" w:cs="Calibri"/>
          <w:sz w:val="22"/>
          <w:szCs w:val="22"/>
          <w:u w:val="single"/>
        </w:rPr>
        <w:t>2. Incident Containment</w:t>
      </w:r>
    </w:p>
    <w:p w14:paraId="395DE492" w14:textId="77777777" w:rsidR="00FB5B5D" w:rsidRPr="00373F21" w:rsidRDefault="00FB5B5D" w:rsidP="00FB5B5D">
      <w:pPr>
        <w:pStyle w:val="ListParagraph"/>
        <w:numPr>
          <w:ilvl w:val="0"/>
          <w:numId w:val="45"/>
        </w:numPr>
        <w:rPr>
          <w:rFonts w:ascii="Calibri" w:hAnsi="Calibri" w:cs="Calibri"/>
          <w:sz w:val="22"/>
          <w:szCs w:val="22"/>
        </w:rPr>
      </w:pPr>
      <w:r w:rsidRPr="00373F21">
        <w:rPr>
          <w:rFonts w:ascii="Calibri" w:hAnsi="Calibri" w:cs="Calibri"/>
          <w:sz w:val="22"/>
          <w:szCs w:val="22"/>
        </w:rPr>
        <w:t>Activate network segmentation to isolate affected systems and prevent further lateral movement.</w:t>
      </w:r>
    </w:p>
    <w:p w14:paraId="62167F97" w14:textId="77777777" w:rsidR="00FB5B5D" w:rsidRPr="00373F21" w:rsidRDefault="00FB5B5D" w:rsidP="00FB5B5D">
      <w:pPr>
        <w:pStyle w:val="ListParagraph"/>
        <w:numPr>
          <w:ilvl w:val="0"/>
          <w:numId w:val="45"/>
        </w:numPr>
        <w:rPr>
          <w:rFonts w:ascii="Calibri" w:hAnsi="Calibri" w:cs="Calibri"/>
          <w:sz w:val="22"/>
          <w:szCs w:val="22"/>
        </w:rPr>
      </w:pPr>
      <w:r w:rsidRPr="00373F21">
        <w:rPr>
          <w:rFonts w:ascii="Calibri" w:hAnsi="Calibri" w:cs="Calibri"/>
          <w:sz w:val="22"/>
          <w:szCs w:val="22"/>
        </w:rPr>
        <w:t>Enforce role-based access control (RBAC) and Zero Trust principles to limit unauthorized access.</w:t>
      </w:r>
    </w:p>
    <w:p w14:paraId="1429B9CC" w14:textId="77777777" w:rsidR="00FB5B5D" w:rsidRPr="00373F21" w:rsidRDefault="00FB5B5D" w:rsidP="00FB5B5D">
      <w:pPr>
        <w:pStyle w:val="ListParagraph"/>
        <w:numPr>
          <w:ilvl w:val="0"/>
          <w:numId w:val="45"/>
        </w:numPr>
        <w:rPr>
          <w:rFonts w:ascii="Calibri" w:hAnsi="Calibri" w:cs="Calibri"/>
          <w:sz w:val="22"/>
          <w:szCs w:val="22"/>
        </w:rPr>
      </w:pPr>
      <w:r w:rsidRPr="00373F21">
        <w:rPr>
          <w:rFonts w:ascii="Calibri" w:hAnsi="Calibri" w:cs="Calibri"/>
          <w:sz w:val="22"/>
          <w:szCs w:val="22"/>
        </w:rPr>
        <w:t>Deploy containment strategies based on attack type, including sandboxing malware samples for analysis.</w:t>
      </w:r>
    </w:p>
    <w:p w14:paraId="1FC976D7" w14:textId="77777777" w:rsidR="00FB5B5D" w:rsidRPr="00373F21" w:rsidRDefault="00FB5B5D" w:rsidP="00FB5B5D">
      <w:pPr>
        <w:pStyle w:val="ListParagraph"/>
        <w:numPr>
          <w:ilvl w:val="0"/>
          <w:numId w:val="45"/>
        </w:numPr>
        <w:rPr>
          <w:rFonts w:ascii="Calibri" w:hAnsi="Calibri" w:cs="Calibri"/>
          <w:sz w:val="22"/>
          <w:szCs w:val="22"/>
        </w:rPr>
      </w:pPr>
      <w:r w:rsidRPr="00373F21">
        <w:rPr>
          <w:rFonts w:ascii="Calibri" w:hAnsi="Calibri" w:cs="Calibri"/>
          <w:sz w:val="22"/>
          <w:szCs w:val="22"/>
        </w:rPr>
        <w:lastRenderedPageBreak/>
        <w:t>Work in alignment with DoD’s Cyber Incident Handling Program (CJCSM 6510.01B) to coordinate containment strategies.</w:t>
      </w:r>
    </w:p>
    <w:p w14:paraId="0EE0E4A2" w14:textId="77777777" w:rsidR="00FB5B5D" w:rsidRPr="00FB5B5D" w:rsidRDefault="00FB5B5D" w:rsidP="0004049B">
      <w:pPr>
        <w:rPr>
          <w:rFonts w:ascii="Calibri" w:hAnsi="Calibri" w:cs="Calibri"/>
          <w:sz w:val="22"/>
          <w:szCs w:val="22"/>
          <w:u w:val="single"/>
        </w:rPr>
      </w:pPr>
      <w:r w:rsidRPr="00FB5B5D">
        <w:rPr>
          <w:rFonts w:ascii="Calibri" w:hAnsi="Calibri" w:cs="Calibri"/>
          <w:sz w:val="22"/>
          <w:szCs w:val="22"/>
          <w:u w:val="single"/>
        </w:rPr>
        <w:t>3. Eradication and Remediation</w:t>
      </w:r>
    </w:p>
    <w:p w14:paraId="64AFDC1D" w14:textId="77777777" w:rsidR="00FB5B5D" w:rsidRPr="00373F21" w:rsidRDefault="00FB5B5D" w:rsidP="0004049B">
      <w:pPr>
        <w:pStyle w:val="ListParagraph"/>
        <w:numPr>
          <w:ilvl w:val="0"/>
          <w:numId w:val="46"/>
        </w:numPr>
        <w:rPr>
          <w:rFonts w:ascii="Calibri" w:hAnsi="Calibri" w:cs="Calibri"/>
          <w:sz w:val="22"/>
          <w:szCs w:val="22"/>
        </w:rPr>
      </w:pPr>
      <w:r w:rsidRPr="00373F21">
        <w:rPr>
          <w:rFonts w:ascii="Calibri" w:hAnsi="Calibri" w:cs="Calibri"/>
          <w:sz w:val="22"/>
          <w:szCs w:val="22"/>
        </w:rPr>
        <w:t>Conduct digital forensic analysis to determine root cause and scope of the attack.</w:t>
      </w:r>
    </w:p>
    <w:p w14:paraId="499C2664" w14:textId="77777777" w:rsidR="00FB5B5D" w:rsidRPr="00373F21" w:rsidRDefault="00FB5B5D" w:rsidP="0004049B">
      <w:pPr>
        <w:pStyle w:val="ListParagraph"/>
        <w:numPr>
          <w:ilvl w:val="0"/>
          <w:numId w:val="46"/>
        </w:numPr>
        <w:rPr>
          <w:rFonts w:ascii="Calibri" w:hAnsi="Calibri" w:cs="Calibri"/>
          <w:sz w:val="22"/>
          <w:szCs w:val="22"/>
        </w:rPr>
      </w:pPr>
      <w:r w:rsidRPr="00373F21">
        <w:rPr>
          <w:rFonts w:ascii="Calibri" w:hAnsi="Calibri" w:cs="Calibri"/>
          <w:sz w:val="22"/>
          <w:szCs w:val="22"/>
        </w:rPr>
        <w:t>Remove malicious code, patch vulnerabilities, and restore affected systems using secure baseline configurations.</w:t>
      </w:r>
    </w:p>
    <w:p w14:paraId="0679ACB6" w14:textId="77777777" w:rsidR="00FB5B5D" w:rsidRPr="00373F21" w:rsidRDefault="00FB5B5D" w:rsidP="0004049B">
      <w:pPr>
        <w:pStyle w:val="ListParagraph"/>
        <w:numPr>
          <w:ilvl w:val="0"/>
          <w:numId w:val="46"/>
        </w:numPr>
        <w:rPr>
          <w:rFonts w:ascii="Calibri" w:hAnsi="Calibri" w:cs="Calibri"/>
          <w:sz w:val="22"/>
          <w:szCs w:val="22"/>
        </w:rPr>
      </w:pPr>
      <w:r w:rsidRPr="00373F21">
        <w:rPr>
          <w:rFonts w:ascii="Calibri" w:hAnsi="Calibri" w:cs="Calibri"/>
          <w:sz w:val="22"/>
          <w:szCs w:val="22"/>
        </w:rPr>
        <w:t>Implement automated remediation scripts to prevent reinfection and strengthen system defenses.</w:t>
      </w:r>
    </w:p>
    <w:p w14:paraId="04E3888E" w14:textId="77777777" w:rsidR="00FB5B5D" w:rsidRPr="00373F21" w:rsidRDefault="00FB5B5D" w:rsidP="0004049B">
      <w:pPr>
        <w:pStyle w:val="ListParagraph"/>
        <w:numPr>
          <w:ilvl w:val="0"/>
          <w:numId w:val="46"/>
        </w:numPr>
        <w:rPr>
          <w:rFonts w:ascii="Calibri" w:hAnsi="Calibri" w:cs="Calibri"/>
          <w:sz w:val="22"/>
          <w:szCs w:val="22"/>
        </w:rPr>
      </w:pPr>
      <w:r w:rsidRPr="00373F21">
        <w:rPr>
          <w:rFonts w:ascii="Calibri" w:hAnsi="Calibri" w:cs="Calibri"/>
          <w:sz w:val="22"/>
          <w:szCs w:val="22"/>
        </w:rPr>
        <w:t>Coordinate with DoD Cyber Crime Center (DC3) for forensic analysis and evidence handling.</w:t>
      </w:r>
    </w:p>
    <w:p w14:paraId="27FA592C" w14:textId="77777777" w:rsidR="00FB5B5D" w:rsidRPr="00FB5B5D" w:rsidRDefault="00FB5B5D" w:rsidP="0004049B">
      <w:pPr>
        <w:rPr>
          <w:rFonts w:ascii="Calibri" w:hAnsi="Calibri" w:cs="Calibri"/>
          <w:sz w:val="22"/>
          <w:szCs w:val="22"/>
          <w:u w:val="single"/>
        </w:rPr>
      </w:pPr>
      <w:r w:rsidRPr="00FB5B5D">
        <w:rPr>
          <w:rFonts w:ascii="Calibri" w:hAnsi="Calibri" w:cs="Calibri"/>
          <w:sz w:val="22"/>
          <w:szCs w:val="22"/>
          <w:u w:val="single"/>
        </w:rPr>
        <w:t>4. Recovery and System Restoration</w:t>
      </w:r>
    </w:p>
    <w:p w14:paraId="4A3BBF8E" w14:textId="77777777" w:rsidR="00FB5B5D" w:rsidRPr="00373F21" w:rsidRDefault="00FB5B5D" w:rsidP="0004049B">
      <w:pPr>
        <w:pStyle w:val="ListParagraph"/>
        <w:numPr>
          <w:ilvl w:val="0"/>
          <w:numId w:val="47"/>
        </w:numPr>
        <w:rPr>
          <w:rFonts w:ascii="Calibri" w:hAnsi="Calibri" w:cs="Calibri"/>
          <w:sz w:val="22"/>
          <w:szCs w:val="22"/>
        </w:rPr>
      </w:pPr>
      <w:r w:rsidRPr="00373F21">
        <w:rPr>
          <w:rFonts w:ascii="Calibri" w:hAnsi="Calibri" w:cs="Calibri"/>
          <w:sz w:val="22"/>
          <w:szCs w:val="22"/>
        </w:rPr>
        <w:t>Restore compromised systems from secure backups to prevent data loss.</w:t>
      </w:r>
    </w:p>
    <w:p w14:paraId="71308ADE" w14:textId="77777777" w:rsidR="00FB5B5D" w:rsidRPr="00373F21" w:rsidRDefault="00FB5B5D" w:rsidP="0004049B">
      <w:pPr>
        <w:pStyle w:val="ListParagraph"/>
        <w:numPr>
          <w:ilvl w:val="0"/>
          <w:numId w:val="47"/>
        </w:numPr>
        <w:rPr>
          <w:rFonts w:ascii="Calibri" w:hAnsi="Calibri" w:cs="Calibri"/>
          <w:sz w:val="22"/>
          <w:szCs w:val="22"/>
        </w:rPr>
      </w:pPr>
      <w:r w:rsidRPr="00373F21">
        <w:rPr>
          <w:rFonts w:ascii="Calibri" w:hAnsi="Calibri" w:cs="Calibri"/>
          <w:sz w:val="22"/>
          <w:szCs w:val="22"/>
        </w:rPr>
        <w:t>Validate integrity of restored systems through hash verification and security scans.</w:t>
      </w:r>
    </w:p>
    <w:p w14:paraId="6E4C5025" w14:textId="77777777" w:rsidR="00FB5B5D" w:rsidRPr="00373F21" w:rsidRDefault="00FB5B5D" w:rsidP="0004049B">
      <w:pPr>
        <w:pStyle w:val="ListParagraph"/>
        <w:numPr>
          <w:ilvl w:val="0"/>
          <w:numId w:val="47"/>
        </w:numPr>
        <w:rPr>
          <w:rFonts w:ascii="Calibri" w:hAnsi="Calibri" w:cs="Calibri"/>
          <w:sz w:val="22"/>
          <w:szCs w:val="22"/>
        </w:rPr>
      </w:pPr>
      <w:r w:rsidRPr="00373F21">
        <w:rPr>
          <w:rFonts w:ascii="Calibri" w:hAnsi="Calibri" w:cs="Calibri"/>
          <w:sz w:val="22"/>
          <w:szCs w:val="22"/>
        </w:rPr>
        <w:t>Conduct post-recovery testing to confirm that security patches and mitigations are effective.</w:t>
      </w:r>
    </w:p>
    <w:p w14:paraId="00AB920F" w14:textId="77777777" w:rsidR="00FB5B5D" w:rsidRPr="00373F21" w:rsidRDefault="00FB5B5D" w:rsidP="0004049B">
      <w:pPr>
        <w:pStyle w:val="ListParagraph"/>
        <w:numPr>
          <w:ilvl w:val="0"/>
          <w:numId w:val="47"/>
        </w:numPr>
        <w:rPr>
          <w:rFonts w:ascii="Calibri" w:hAnsi="Calibri" w:cs="Calibri"/>
          <w:sz w:val="22"/>
          <w:szCs w:val="22"/>
        </w:rPr>
      </w:pPr>
      <w:r w:rsidRPr="00373F21">
        <w:rPr>
          <w:rFonts w:ascii="Calibri" w:hAnsi="Calibri" w:cs="Calibri"/>
          <w:sz w:val="22"/>
          <w:szCs w:val="22"/>
        </w:rPr>
        <w:t>Reintegrate affected systems into the network following DoD Risk Management Framework (RMF) procedures.</w:t>
      </w:r>
    </w:p>
    <w:p w14:paraId="510EEB3E" w14:textId="77777777" w:rsidR="00FB5B5D" w:rsidRPr="00FB5B5D" w:rsidRDefault="00FB5B5D" w:rsidP="0004049B">
      <w:pPr>
        <w:rPr>
          <w:rFonts w:ascii="Calibri" w:hAnsi="Calibri" w:cs="Calibri"/>
          <w:sz w:val="22"/>
          <w:szCs w:val="22"/>
          <w:u w:val="single"/>
        </w:rPr>
      </w:pPr>
      <w:r w:rsidRPr="00FB5B5D">
        <w:rPr>
          <w:rFonts w:ascii="Calibri" w:hAnsi="Calibri" w:cs="Calibri"/>
          <w:sz w:val="22"/>
          <w:szCs w:val="22"/>
          <w:u w:val="single"/>
        </w:rPr>
        <w:t>5. Post-Incident Analysis and Reporting</w:t>
      </w:r>
    </w:p>
    <w:p w14:paraId="4463804B" w14:textId="77777777" w:rsidR="00FB5B5D" w:rsidRPr="00373F21" w:rsidRDefault="00FB5B5D" w:rsidP="0004049B">
      <w:pPr>
        <w:pStyle w:val="ListParagraph"/>
        <w:numPr>
          <w:ilvl w:val="0"/>
          <w:numId w:val="48"/>
        </w:numPr>
        <w:rPr>
          <w:rFonts w:ascii="Calibri" w:hAnsi="Calibri" w:cs="Calibri"/>
          <w:sz w:val="22"/>
          <w:szCs w:val="22"/>
        </w:rPr>
      </w:pPr>
      <w:r w:rsidRPr="00373F21">
        <w:rPr>
          <w:rFonts w:ascii="Calibri" w:hAnsi="Calibri" w:cs="Calibri"/>
          <w:sz w:val="22"/>
          <w:szCs w:val="22"/>
        </w:rPr>
        <w:t>Conduct a detailed post-mortem analysis to evaluate response effectiveness and identify areas for improvement.</w:t>
      </w:r>
    </w:p>
    <w:p w14:paraId="383D8939" w14:textId="77777777" w:rsidR="00FB5B5D" w:rsidRPr="00373F21" w:rsidRDefault="00FB5B5D" w:rsidP="0004049B">
      <w:pPr>
        <w:pStyle w:val="ListParagraph"/>
        <w:numPr>
          <w:ilvl w:val="0"/>
          <w:numId w:val="48"/>
        </w:numPr>
        <w:rPr>
          <w:rFonts w:ascii="Calibri" w:hAnsi="Calibri" w:cs="Calibri"/>
          <w:sz w:val="22"/>
          <w:szCs w:val="22"/>
        </w:rPr>
      </w:pPr>
      <w:r w:rsidRPr="00373F21">
        <w:rPr>
          <w:rFonts w:ascii="Calibri" w:hAnsi="Calibri" w:cs="Calibri"/>
          <w:sz w:val="22"/>
          <w:szCs w:val="22"/>
        </w:rPr>
        <w:t>Generate and submit an Incident Report to the DoD in compliance with DFARS 252.204-7012 requirements.</w:t>
      </w:r>
    </w:p>
    <w:p w14:paraId="2BC63097" w14:textId="77777777" w:rsidR="00FB5B5D" w:rsidRPr="00373F21" w:rsidRDefault="00FB5B5D" w:rsidP="0004049B">
      <w:pPr>
        <w:pStyle w:val="ListParagraph"/>
        <w:numPr>
          <w:ilvl w:val="0"/>
          <w:numId w:val="48"/>
        </w:numPr>
        <w:rPr>
          <w:rFonts w:ascii="Calibri" w:hAnsi="Calibri" w:cs="Calibri"/>
          <w:sz w:val="22"/>
          <w:szCs w:val="22"/>
        </w:rPr>
      </w:pPr>
      <w:r w:rsidRPr="00373F21">
        <w:rPr>
          <w:rFonts w:ascii="Calibri" w:hAnsi="Calibri" w:cs="Calibri"/>
          <w:sz w:val="22"/>
          <w:szCs w:val="22"/>
        </w:rPr>
        <w:t>Update Incident Response Playbooks to incorporate lessons learned and improve future readiness.</w:t>
      </w:r>
    </w:p>
    <w:p w14:paraId="6D42E55F" w14:textId="77777777" w:rsidR="00FB5B5D" w:rsidRPr="00373F21" w:rsidRDefault="00FB5B5D" w:rsidP="0004049B">
      <w:pPr>
        <w:pStyle w:val="ListParagraph"/>
        <w:numPr>
          <w:ilvl w:val="0"/>
          <w:numId w:val="48"/>
        </w:numPr>
        <w:rPr>
          <w:rFonts w:ascii="Calibri" w:hAnsi="Calibri" w:cs="Calibri"/>
          <w:sz w:val="22"/>
          <w:szCs w:val="22"/>
        </w:rPr>
      </w:pPr>
      <w:r w:rsidRPr="00373F21">
        <w:rPr>
          <w:rFonts w:ascii="Calibri" w:hAnsi="Calibri" w:cs="Calibri"/>
          <w:sz w:val="22"/>
          <w:szCs w:val="22"/>
        </w:rPr>
        <w:t>Conduct staff training and awareness programs based on new attack trends and vulnerabilities.</w:t>
      </w:r>
    </w:p>
    <w:p w14:paraId="3A666985" w14:textId="77777777" w:rsidR="00FB5B5D" w:rsidRPr="00FB5B5D" w:rsidRDefault="00FB5B5D" w:rsidP="006A2214">
      <w:pPr>
        <w:rPr>
          <w:rFonts w:ascii="Calibri" w:hAnsi="Calibri" w:cs="Calibri"/>
          <w:sz w:val="22"/>
          <w:szCs w:val="22"/>
          <w:u w:val="single"/>
        </w:rPr>
      </w:pPr>
      <w:r w:rsidRPr="00FB5B5D">
        <w:rPr>
          <w:rFonts w:ascii="Calibri" w:hAnsi="Calibri" w:cs="Calibri"/>
          <w:sz w:val="22"/>
          <w:szCs w:val="22"/>
          <w:u w:val="single"/>
        </w:rPr>
        <w:t>6. Continuous Monitoring and Threat Intelligence Integration</w:t>
      </w:r>
    </w:p>
    <w:p w14:paraId="05EADE79" w14:textId="77777777" w:rsidR="00FB5B5D" w:rsidRPr="00373F21" w:rsidRDefault="00FB5B5D" w:rsidP="006A2214">
      <w:pPr>
        <w:pStyle w:val="ListParagraph"/>
        <w:numPr>
          <w:ilvl w:val="0"/>
          <w:numId w:val="49"/>
        </w:numPr>
        <w:rPr>
          <w:rFonts w:ascii="Calibri" w:hAnsi="Calibri" w:cs="Calibri"/>
          <w:sz w:val="22"/>
          <w:szCs w:val="22"/>
        </w:rPr>
      </w:pPr>
      <w:r w:rsidRPr="00373F21">
        <w:rPr>
          <w:rFonts w:ascii="Calibri" w:hAnsi="Calibri" w:cs="Calibri"/>
          <w:sz w:val="22"/>
          <w:szCs w:val="22"/>
        </w:rPr>
        <w:t>Engage in threat intelligence sharing with CISA, DC3, and National Defense ISAC to stay ahead of evolving cyber threats.</w:t>
      </w:r>
    </w:p>
    <w:p w14:paraId="1E65828E" w14:textId="77777777" w:rsidR="00FB5B5D" w:rsidRPr="00373F21" w:rsidRDefault="00FB5B5D" w:rsidP="006A2214">
      <w:pPr>
        <w:pStyle w:val="ListParagraph"/>
        <w:numPr>
          <w:ilvl w:val="0"/>
          <w:numId w:val="49"/>
        </w:numPr>
        <w:rPr>
          <w:rFonts w:ascii="Calibri" w:hAnsi="Calibri" w:cs="Calibri"/>
          <w:sz w:val="22"/>
          <w:szCs w:val="22"/>
        </w:rPr>
      </w:pPr>
      <w:r w:rsidRPr="00373F21">
        <w:rPr>
          <w:rFonts w:ascii="Calibri" w:hAnsi="Calibri" w:cs="Calibri"/>
          <w:sz w:val="22"/>
          <w:szCs w:val="22"/>
        </w:rPr>
        <w:t>Conduct regular red team vs. blue team exercises to test incident response effectiveness.</w:t>
      </w:r>
    </w:p>
    <w:p w14:paraId="374E36B6" w14:textId="77777777" w:rsidR="00FB5B5D" w:rsidRPr="00373F21" w:rsidRDefault="00FB5B5D" w:rsidP="006A2214">
      <w:pPr>
        <w:pStyle w:val="ListParagraph"/>
        <w:numPr>
          <w:ilvl w:val="0"/>
          <w:numId w:val="49"/>
        </w:numPr>
        <w:rPr>
          <w:rFonts w:ascii="Calibri" w:hAnsi="Calibri" w:cs="Calibri"/>
          <w:sz w:val="22"/>
          <w:szCs w:val="22"/>
        </w:rPr>
      </w:pPr>
      <w:r w:rsidRPr="00373F21">
        <w:rPr>
          <w:rFonts w:ascii="Calibri" w:hAnsi="Calibri" w:cs="Calibri"/>
          <w:sz w:val="22"/>
          <w:szCs w:val="22"/>
        </w:rPr>
        <w:t>Leverage machine learning-based anomaly detection to enhance proactive threat identification.</w:t>
      </w:r>
    </w:p>
    <w:p w14:paraId="108D8145" w14:textId="1A37056A" w:rsidR="00450405" w:rsidRPr="00373F21" w:rsidRDefault="00FB5B5D" w:rsidP="00240C76">
      <w:pPr>
        <w:pStyle w:val="ListParagraph"/>
        <w:numPr>
          <w:ilvl w:val="0"/>
          <w:numId w:val="49"/>
        </w:numPr>
        <w:rPr>
          <w:rFonts w:ascii="Calibri" w:hAnsi="Calibri" w:cs="Calibri"/>
          <w:sz w:val="22"/>
          <w:szCs w:val="22"/>
        </w:rPr>
      </w:pPr>
      <w:r w:rsidRPr="00373F21">
        <w:rPr>
          <w:rFonts w:ascii="Calibri" w:hAnsi="Calibri" w:cs="Calibri"/>
          <w:sz w:val="22"/>
          <w:szCs w:val="22"/>
        </w:rPr>
        <w:t>Continuously update defense mechanisms to align with evolving DoD cybersecurity directives.</w:t>
      </w:r>
    </w:p>
    <w:p w14:paraId="2C26AEAC" w14:textId="393DBD22" w:rsidR="00240C76" w:rsidRPr="00373F21" w:rsidRDefault="0093192C" w:rsidP="00240C76">
      <w:pPr>
        <w:rPr>
          <w:rFonts w:ascii="Calibri" w:hAnsi="Calibri" w:cs="Calibri"/>
          <w:b/>
          <w:bCs/>
          <w:sz w:val="22"/>
          <w:szCs w:val="22"/>
        </w:rPr>
      </w:pPr>
      <w:r w:rsidRPr="00373F21">
        <w:rPr>
          <w:rFonts w:ascii="Calibri" w:hAnsi="Calibri" w:cs="Calibri"/>
          <w:b/>
          <w:bCs/>
          <w:sz w:val="22"/>
          <w:szCs w:val="22"/>
        </w:rPr>
        <w:t xml:space="preserve">Developing an Internal </w:t>
      </w:r>
      <w:r w:rsidR="00275D04" w:rsidRPr="00373F21">
        <w:rPr>
          <w:rFonts w:ascii="Calibri" w:hAnsi="Calibri" w:cs="Calibri"/>
          <w:b/>
          <w:bCs/>
          <w:sz w:val="22"/>
          <w:szCs w:val="22"/>
        </w:rPr>
        <w:t>DFIR</w:t>
      </w:r>
      <w:r w:rsidRPr="00373F21">
        <w:rPr>
          <w:rFonts w:ascii="Calibri" w:hAnsi="Calibri" w:cs="Calibri"/>
          <w:b/>
          <w:bCs/>
          <w:sz w:val="22"/>
          <w:szCs w:val="22"/>
        </w:rPr>
        <w:t xml:space="preserve"> Team </w:t>
      </w:r>
    </w:p>
    <w:p w14:paraId="080DA8E9" w14:textId="124944D0" w:rsidR="008204C4" w:rsidRPr="00373F21" w:rsidRDefault="008204C4" w:rsidP="00DE5D54">
      <w:pPr>
        <w:spacing w:line="240" w:lineRule="auto"/>
        <w:rPr>
          <w:rFonts w:ascii="Calibri" w:hAnsi="Calibri" w:cs="Calibri"/>
          <w:sz w:val="22"/>
          <w:szCs w:val="22"/>
        </w:rPr>
      </w:pPr>
      <w:r w:rsidRPr="008204C4">
        <w:rPr>
          <w:rFonts w:ascii="Calibri" w:hAnsi="Calibri" w:cs="Calibri"/>
          <w:sz w:val="22"/>
          <w:szCs w:val="22"/>
        </w:rPr>
        <w:t>The costs associated with developing and maintaining an internal DFIR team include</w:t>
      </w:r>
      <w:r w:rsidR="00DE5D54" w:rsidRPr="00373F21">
        <w:rPr>
          <w:rFonts w:ascii="Calibri" w:hAnsi="Calibri" w:cs="Calibri"/>
          <w:sz w:val="22"/>
          <w:szCs w:val="22"/>
        </w:rPr>
        <w:t xml:space="preserve"> </w:t>
      </w:r>
      <w:r w:rsidRPr="008204C4">
        <w:rPr>
          <w:rFonts w:ascii="Calibri" w:hAnsi="Calibri" w:cs="Calibri"/>
          <w:sz w:val="22"/>
          <w:szCs w:val="22"/>
        </w:rPr>
        <w:t>staffing, tools, training, and ongoing operational expenses.</w:t>
      </w:r>
    </w:p>
    <w:p w14:paraId="56B19C7B" w14:textId="21A75F23" w:rsidR="00A8737E" w:rsidRPr="00373F21" w:rsidRDefault="00A8737E" w:rsidP="00DE5D54">
      <w:pPr>
        <w:spacing w:line="240" w:lineRule="auto"/>
        <w:rPr>
          <w:rFonts w:ascii="Calibri" w:hAnsi="Calibri" w:cs="Calibri"/>
          <w:sz w:val="22"/>
          <w:szCs w:val="22"/>
          <w:u w:val="single"/>
        </w:rPr>
      </w:pPr>
      <w:r w:rsidRPr="00373F21">
        <w:rPr>
          <w:rFonts w:ascii="Calibri" w:hAnsi="Calibri" w:cs="Calibri"/>
          <w:sz w:val="22"/>
          <w:szCs w:val="22"/>
          <w:u w:val="single"/>
        </w:rPr>
        <w:t>Staffing Costs</w:t>
      </w:r>
    </w:p>
    <w:tbl>
      <w:tblPr>
        <w:tblW w:w="6460" w:type="dxa"/>
        <w:tblLook w:val="04A0" w:firstRow="1" w:lastRow="0" w:firstColumn="1" w:lastColumn="0" w:noHBand="0" w:noVBand="1"/>
      </w:tblPr>
      <w:tblGrid>
        <w:gridCol w:w="3920"/>
        <w:gridCol w:w="2540"/>
      </w:tblGrid>
      <w:tr w:rsidR="00810E04" w:rsidRPr="00810E04" w14:paraId="238D0797" w14:textId="77777777" w:rsidTr="00810E04">
        <w:trPr>
          <w:trHeight w:val="300"/>
        </w:trPr>
        <w:tc>
          <w:tcPr>
            <w:tcW w:w="39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8CC3B1C" w14:textId="77777777" w:rsidR="00810E04" w:rsidRPr="00810E04" w:rsidRDefault="00810E04" w:rsidP="00810E04">
            <w:pPr>
              <w:spacing w:after="0" w:line="240" w:lineRule="auto"/>
              <w:rPr>
                <w:rFonts w:ascii="Calibri" w:eastAsia="Times New Roman" w:hAnsi="Calibri" w:cs="Calibri"/>
                <w:b/>
                <w:bCs/>
                <w:color w:val="000000"/>
                <w:kern w:val="0"/>
                <w:sz w:val="22"/>
                <w:szCs w:val="22"/>
                <w14:ligatures w14:val="none"/>
              </w:rPr>
            </w:pPr>
            <w:r w:rsidRPr="00810E04">
              <w:rPr>
                <w:rFonts w:ascii="Calibri" w:eastAsia="Times New Roman" w:hAnsi="Calibri" w:cs="Calibri"/>
                <w:b/>
                <w:bCs/>
                <w:color w:val="000000"/>
                <w:kern w:val="0"/>
                <w:sz w:val="22"/>
                <w:szCs w:val="22"/>
                <w14:ligatures w14:val="none"/>
              </w:rPr>
              <w:t>Role</w:t>
            </w:r>
          </w:p>
        </w:tc>
        <w:tc>
          <w:tcPr>
            <w:tcW w:w="2540" w:type="dxa"/>
            <w:tcBorders>
              <w:top w:val="single" w:sz="4" w:space="0" w:color="auto"/>
              <w:left w:val="nil"/>
              <w:bottom w:val="single" w:sz="4" w:space="0" w:color="auto"/>
              <w:right w:val="single" w:sz="4" w:space="0" w:color="auto"/>
            </w:tcBorders>
            <w:shd w:val="clear" w:color="000000" w:fill="BFBFBF"/>
            <w:noWrap/>
            <w:vAlign w:val="bottom"/>
            <w:hideMark/>
          </w:tcPr>
          <w:p w14:paraId="4E04A725" w14:textId="77777777" w:rsidR="00810E04" w:rsidRPr="00810E04" w:rsidRDefault="00810E04" w:rsidP="00810E04">
            <w:pPr>
              <w:spacing w:after="0" w:line="240" w:lineRule="auto"/>
              <w:rPr>
                <w:rFonts w:ascii="Calibri" w:eastAsia="Times New Roman" w:hAnsi="Calibri" w:cs="Calibri"/>
                <w:b/>
                <w:bCs/>
                <w:color w:val="000000"/>
                <w:kern w:val="0"/>
                <w:sz w:val="22"/>
                <w:szCs w:val="22"/>
                <w14:ligatures w14:val="none"/>
              </w:rPr>
            </w:pPr>
            <w:r w:rsidRPr="00810E04">
              <w:rPr>
                <w:rFonts w:ascii="Calibri" w:eastAsia="Times New Roman" w:hAnsi="Calibri" w:cs="Calibri"/>
                <w:b/>
                <w:bCs/>
                <w:color w:val="000000"/>
                <w:kern w:val="0"/>
                <w:sz w:val="22"/>
                <w:szCs w:val="22"/>
                <w14:ligatures w14:val="none"/>
              </w:rPr>
              <w:t>Estimated Salary (Annual)</w:t>
            </w:r>
          </w:p>
        </w:tc>
      </w:tr>
      <w:tr w:rsidR="00810E04" w:rsidRPr="00810E04" w14:paraId="096A7590"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7468FAD4"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lastRenderedPageBreak/>
              <w:t>Incident Response Manager</w:t>
            </w:r>
          </w:p>
        </w:tc>
        <w:tc>
          <w:tcPr>
            <w:tcW w:w="2540" w:type="dxa"/>
            <w:tcBorders>
              <w:top w:val="nil"/>
              <w:left w:val="nil"/>
              <w:bottom w:val="single" w:sz="4" w:space="0" w:color="auto"/>
              <w:right w:val="single" w:sz="4" w:space="0" w:color="auto"/>
            </w:tcBorders>
            <w:shd w:val="clear" w:color="auto" w:fill="auto"/>
            <w:noWrap/>
            <w:vAlign w:val="bottom"/>
            <w:hideMark/>
          </w:tcPr>
          <w:p w14:paraId="7A6B8216"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$180,000 </w:t>
            </w:r>
          </w:p>
        </w:tc>
      </w:tr>
      <w:tr w:rsidR="00810E04" w:rsidRPr="00810E04" w14:paraId="4367C774"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542CDA9F"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Forensic Analyst</w:t>
            </w:r>
          </w:p>
        </w:tc>
        <w:tc>
          <w:tcPr>
            <w:tcW w:w="2540" w:type="dxa"/>
            <w:tcBorders>
              <w:top w:val="nil"/>
              <w:left w:val="nil"/>
              <w:bottom w:val="single" w:sz="4" w:space="0" w:color="auto"/>
              <w:right w:val="single" w:sz="4" w:space="0" w:color="auto"/>
            </w:tcBorders>
            <w:shd w:val="clear" w:color="auto" w:fill="auto"/>
            <w:noWrap/>
            <w:vAlign w:val="bottom"/>
            <w:hideMark/>
          </w:tcPr>
          <w:p w14:paraId="57CBE046"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$140,000 </w:t>
            </w:r>
          </w:p>
        </w:tc>
      </w:tr>
      <w:tr w:rsidR="00810E04" w:rsidRPr="00810E04" w14:paraId="40A463D2"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7F5B87CD"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Threat Intelligence Analyst</w:t>
            </w:r>
          </w:p>
        </w:tc>
        <w:tc>
          <w:tcPr>
            <w:tcW w:w="2540" w:type="dxa"/>
            <w:tcBorders>
              <w:top w:val="nil"/>
              <w:left w:val="nil"/>
              <w:bottom w:val="single" w:sz="4" w:space="0" w:color="auto"/>
              <w:right w:val="single" w:sz="4" w:space="0" w:color="auto"/>
            </w:tcBorders>
            <w:shd w:val="clear" w:color="auto" w:fill="auto"/>
            <w:noWrap/>
            <w:vAlign w:val="bottom"/>
            <w:hideMark/>
          </w:tcPr>
          <w:p w14:paraId="7575BB6E"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$130,000 </w:t>
            </w:r>
          </w:p>
        </w:tc>
      </w:tr>
      <w:tr w:rsidR="00810E04" w:rsidRPr="00810E04" w14:paraId="03C9D972"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7D9648AD"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Security Operations Center (SOC) Analyst</w:t>
            </w:r>
          </w:p>
        </w:tc>
        <w:tc>
          <w:tcPr>
            <w:tcW w:w="2540" w:type="dxa"/>
            <w:tcBorders>
              <w:top w:val="nil"/>
              <w:left w:val="nil"/>
              <w:bottom w:val="single" w:sz="4" w:space="0" w:color="auto"/>
              <w:right w:val="single" w:sz="4" w:space="0" w:color="auto"/>
            </w:tcBorders>
            <w:shd w:val="clear" w:color="auto" w:fill="auto"/>
            <w:noWrap/>
            <w:vAlign w:val="bottom"/>
            <w:hideMark/>
          </w:tcPr>
          <w:p w14:paraId="096F0971"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$120,000 </w:t>
            </w:r>
          </w:p>
        </w:tc>
      </w:tr>
      <w:tr w:rsidR="00810E04" w:rsidRPr="00810E04" w14:paraId="623A5331"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71A79006"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System Security Engineer</w:t>
            </w:r>
          </w:p>
        </w:tc>
        <w:tc>
          <w:tcPr>
            <w:tcW w:w="2540" w:type="dxa"/>
            <w:tcBorders>
              <w:top w:val="nil"/>
              <w:left w:val="nil"/>
              <w:bottom w:val="single" w:sz="4" w:space="0" w:color="auto"/>
              <w:right w:val="single" w:sz="4" w:space="0" w:color="auto"/>
            </w:tcBorders>
            <w:shd w:val="clear" w:color="auto" w:fill="auto"/>
            <w:noWrap/>
            <w:vAlign w:val="bottom"/>
            <w:hideMark/>
          </w:tcPr>
          <w:p w14:paraId="444D3D6D"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$135,000 </w:t>
            </w:r>
          </w:p>
        </w:tc>
      </w:tr>
      <w:tr w:rsidR="00810E04" w:rsidRPr="00810E04" w14:paraId="13DA87AC"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72965B69"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Compliance Officer</w:t>
            </w:r>
          </w:p>
        </w:tc>
        <w:tc>
          <w:tcPr>
            <w:tcW w:w="2540" w:type="dxa"/>
            <w:tcBorders>
              <w:top w:val="nil"/>
              <w:left w:val="nil"/>
              <w:bottom w:val="single" w:sz="4" w:space="0" w:color="auto"/>
              <w:right w:val="single" w:sz="4" w:space="0" w:color="auto"/>
            </w:tcBorders>
            <w:shd w:val="clear" w:color="auto" w:fill="auto"/>
            <w:noWrap/>
            <w:vAlign w:val="bottom"/>
            <w:hideMark/>
          </w:tcPr>
          <w:p w14:paraId="0D3DB878"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$125,000 </w:t>
            </w:r>
          </w:p>
        </w:tc>
      </w:tr>
      <w:tr w:rsidR="00810E04" w:rsidRPr="00810E04" w14:paraId="39307093" w14:textId="77777777" w:rsidTr="00810E04">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41938E2D"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Total Annual Staffing Costs</w:t>
            </w:r>
          </w:p>
        </w:tc>
        <w:tc>
          <w:tcPr>
            <w:tcW w:w="2540" w:type="dxa"/>
            <w:tcBorders>
              <w:top w:val="nil"/>
              <w:left w:val="nil"/>
              <w:bottom w:val="single" w:sz="4" w:space="0" w:color="auto"/>
              <w:right w:val="single" w:sz="4" w:space="0" w:color="auto"/>
            </w:tcBorders>
            <w:shd w:val="clear" w:color="auto" w:fill="auto"/>
            <w:noWrap/>
            <w:vAlign w:val="bottom"/>
            <w:hideMark/>
          </w:tcPr>
          <w:p w14:paraId="54C23322" w14:textId="77777777" w:rsidR="00810E04" w:rsidRPr="00810E04" w:rsidRDefault="00810E04" w:rsidP="00810E04">
            <w:pPr>
              <w:spacing w:after="0" w:line="240" w:lineRule="auto"/>
              <w:rPr>
                <w:rFonts w:ascii="Calibri" w:eastAsia="Times New Roman" w:hAnsi="Calibri" w:cs="Calibri"/>
                <w:color w:val="000000"/>
                <w:kern w:val="0"/>
                <w:sz w:val="22"/>
                <w:szCs w:val="22"/>
                <w14:ligatures w14:val="none"/>
              </w:rPr>
            </w:pPr>
            <w:r w:rsidRPr="00810E04">
              <w:rPr>
                <w:rFonts w:ascii="Calibri" w:eastAsia="Times New Roman" w:hAnsi="Calibri" w:cs="Calibri"/>
                <w:color w:val="000000"/>
                <w:kern w:val="0"/>
                <w:sz w:val="22"/>
                <w:szCs w:val="22"/>
                <w14:ligatures w14:val="none"/>
              </w:rPr>
              <w:t xml:space="preserve">$830,000 </w:t>
            </w:r>
          </w:p>
        </w:tc>
      </w:tr>
    </w:tbl>
    <w:p w14:paraId="78C6EDD5" w14:textId="77777777" w:rsidR="00A8737E" w:rsidRPr="008204C4" w:rsidRDefault="00A8737E" w:rsidP="00DE5D54">
      <w:pPr>
        <w:spacing w:line="240" w:lineRule="auto"/>
        <w:rPr>
          <w:rFonts w:ascii="Calibri" w:hAnsi="Calibri" w:cs="Calibri"/>
          <w:sz w:val="22"/>
          <w:szCs w:val="22"/>
          <w:u w:val="single"/>
        </w:rPr>
      </w:pPr>
    </w:p>
    <w:p w14:paraId="3367D1C5" w14:textId="0FDDDE6B" w:rsidR="008204C4" w:rsidRPr="00373F21" w:rsidRDefault="00D876B5" w:rsidP="00240C76">
      <w:pPr>
        <w:rPr>
          <w:rFonts w:ascii="Calibri" w:hAnsi="Calibri" w:cs="Calibri"/>
          <w:sz w:val="22"/>
          <w:szCs w:val="22"/>
          <w:u w:val="single"/>
        </w:rPr>
      </w:pPr>
      <w:r w:rsidRPr="00373F21">
        <w:rPr>
          <w:rFonts w:ascii="Calibri" w:hAnsi="Calibri" w:cs="Calibri"/>
          <w:sz w:val="22"/>
          <w:szCs w:val="22"/>
          <w:u w:val="single"/>
        </w:rPr>
        <w:t>Tools and Technology Investments</w:t>
      </w:r>
    </w:p>
    <w:tbl>
      <w:tblPr>
        <w:tblW w:w="7340" w:type="dxa"/>
        <w:tblLook w:val="04A0" w:firstRow="1" w:lastRow="0" w:firstColumn="1" w:lastColumn="0" w:noHBand="0" w:noVBand="1"/>
      </w:tblPr>
      <w:tblGrid>
        <w:gridCol w:w="4900"/>
        <w:gridCol w:w="2440"/>
      </w:tblGrid>
      <w:tr w:rsidR="009608A3" w:rsidRPr="009608A3" w14:paraId="342622D8" w14:textId="77777777" w:rsidTr="009608A3">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C9E2762" w14:textId="77777777" w:rsidR="009608A3" w:rsidRPr="009608A3" w:rsidRDefault="009608A3" w:rsidP="009608A3">
            <w:pPr>
              <w:spacing w:after="0" w:line="240" w:lineRule="auto"/>
              <w:rPr>
                <w:rFonts w:ascii="Calibri" w:eastAsia="Times New Roman" w:hAnsi="Calibri" w:cs="Calibri"/>
                <w:b/>
                <w:bCs/>
                <w:color w:val="000000"/>
                <w:kern w:val="0"/>
                <w:sz w:val="22"/>
                <w:szCs w:val="22"/>
                <w14:ligatures w14:val="none"/>
              </w:rPr>
            </w:pPr>
            <w:r w:rsidRPr="009608A3">
              <w:rPr>
                <w:rFonts w:ascii="Calibri" w:eastAsia="Times New Roman" w:hAnsi="Calibri" w:cs="Calibri"/>
                <w:b/>
                <w:bCs/>
                <w:color w:val="000000"/>
                <w:kern w:val="0"/>
                <w:sz w:val="22"/>
                <w:szCs w:val="22"/>
                <w14:ligatures w14:val="none"/>
              </w:rPr>
              <w:t>Tool/Technology</w:t>
            </w:r>
          </w:p>
        </w:tc>
        <w:tc>
          <w:tcPr>
            <w:tcW w:w="2440" w:type="dxa"/>
            <w:tcBorders>
              <w:top w:val="single" w:sz="4" w:space="0" w:color="auto"/>
              <w:left w:val="nil"/>
              <w:bottom w:val="single" w:sz="4" w:space="0" w:color="auto"/>
              <w:right w:val="single" w:sz="4" w:space="0" w:color="auto"/>
            </w:tcBorders>
            <w:shd w:val="clear" w:color="000000" w:fill="BFBFBF"/>
            <w:noWrap/>
            <w:vAlign w:val="bottom"/>
            <w:hideMark/>
          </w:tcPr>
          <w:p w14:paraId="0A59DAA8" w14:textId="77777777" w:rsidR="009608A3" w:rsidRPr="009608A3" w:rsidRDefault="009608A3" w:rsidP="009608A3">
            <w:pPr>
              <w:spacing w:after="0" w:line="240" w:lineRule="auto"/>
              <w:rPr>
                <w:rFonts w:ascii="Calibri" w:eastAsia="Times New Roman" w:hAnsi="Calibri" w:cs="Calibri"/>
                <w:b/>
                <w:bCs/>
                <w:color w:val="000000"/>
                <w:kern w:val="0"/>
                <w:sz w:val="22"/>
                <w:szCs w:val="22"/>
                <w14:ligatures w14:val="none"/>
              </w:rPr>
            </w:pPr>
            <w:r w:rsidRPr="009608A3">
              <w:rPr>
                <w:rFonts w:ascii="Calibri" w:eastAsia="Times New Roman" w:hAnsi="Calibri" w:cs="Calibri"/>
                <w:b/>
                <w:bCs/>
                <w:color w:val="000000"/>
                <w:kern w:val="0"/>
                <w:sz w:val="22"/>
                <w:szCs w:val="22"/>
                <w14:ligatures w14:val="none"/>
              </w:rPr>
              <w:t>Estimated Cost (Annual)</w:t>
            </w:r>
          </w:p>
        </w:tc>
      </w:tr>
      <w:tr w:rsidR="009608A3" w:rsidRPr="009608A3" w14:paraId="41837458" w14:textId="77777777" w:rsidTr="009608A3">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6137AB5"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Security Information and Event Management (SIEM)</w:t>
            </w:r>
          </w:p>
        </w:tc>
        <w:tc>
          <w:tcPr>
            <w:tcW w:w="2440" w:type="dxa"/>
            <w:tcBorders>
              <w:top w:val="nil"/>
              <w:left w:val="nil"/>
              <w:bottom w:val="single" w:sz="4" w:space="0" w:color="auto"/>
              <w:right w:val="single" w:sz="4" w:space="0" w:color="auto"/>
            </w:tcBorders>
            <w:shd w:val="clear" w:color="auto" w:fill="auto"/>
            <w:noWrap/>
            <w:vAlign w:val="bottom"/>
            <w:hideMark/>
          </w:tcPr>
          <w:p w14:paraId="24573B1C"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 xml:space="preserve">$250,000 </w:t>
            </w:r>
          </w:p>
        </w:tc>
      </w:tr>
      <w:tr w:rsidR="009608A3" w:rsidRPr="009608A3" w14:paraId="37CA189D" w14:textId="77777777" w:rsidTr="009608A3">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6B131F45"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Endpoint Detection and Response (EDR)</w:t>
            </w:r>
          </w:p>
        </w:tc>
        <w:tc>
          <w:tcPr>
            <w:tcW w:w="2440" w:type="dxa"/>
            <w:tcBorders>
              <w:top w:val="nil"/>
              <w:left w:val="nil"/>
              <w:bottom w:val="single" w:sz="4" w:space="0" w:color="auto"/>
              <w:right w:val="single" w:sz="4" w:space="0" w:color="auto"/>
            </w:tcBorders>
            <w:shd w:val="clear" w:color="auto" w:fill="auto"/>
            <w:noWrap/>
            <w:vAlign w:val="bottom"/>
            <w:hideMark/>
          </w:tcPr>
          <w:p w14:paraId="57A388F6"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 xml:space="preserve">$200,000 </w:t>
            </w:r>
          </w:p>
        </w:tc>
      </w:tr>
      <w:tr w:rsidR="009608A3" w:rsidRPr="009608A3" w14:paraId="67F4ADCA" w14:textId="77777777" w:rsidTr="009608A3">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5F1F114E"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Network Traffic Analysis (NTA)</w:t>
            </w:r>
          </w:p>
        </w:tc>
        <w:tc>
          <w:tcPr>
            <w:tcW w:w="2440" w:type="dxa"/>
            <w:tcBorders>
              <w:top w:val="nil"/>
              <w:left w:val="nil"/>
              <w:bottom w:val="single" w:sz="4" w:space="0" w:color="auto"/>
              <w:right w:val="single" w:sz="4" w:space="0" w:color="auto"/>
            </w:tcBorders>
            <w:shd w:val="clear" w:color="auto" w:fill="auto"/>
            <w:noWrap/>
            <w:vAlign w:val="bottom"/>
            <w:hideMark/>
          </w:tcPr>
          <w:p w14:paraId="45E7C81C"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 xml:space="preserve">$150,000 </w:t>
            </w:r>
          </w:p>
        </w:tc>
      </w:tr>
      <w:tr w:rsidR="009608A3" w:rsidRPr="009608A3" w14:paraId="7B5216D3" w14:textId="77777777" w:rsidTr="009608A3">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0BC137F"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Threat Intelligence Platform</w:t>
            </w:r>
          </w:p>
        </w:tc>
        <w:tc>
          <w:tcPr>
            <w:tcW w:w="2440" w:type="dxa"/>
            <w:tcBorders>
              <w:top w:val="nil"/>
              <w:left w:val="nil"/>
              <w:bottom w:val="single" w:sz="4" w:space="0" w:color="auto"/>
              <w:right w:val="single" w:sz="4" w:space="0" w:color="auto"/>
            </w:tcBorders>
            <w:shd w:val="clear" w:color="auto" w:fill="auto"/>
            <w:noWrap/>
            <w:vAlign w:val="bottom"/>
            <w:hideMark/>
          </w:tcPr>
          <w:p w14:paraId="3A44C54E"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 xml:space="preserve">$100,000 </w:t>
            </w:r>
          </w:p>
        </w:tc>
      </w:tr>
      <w:tr w:rsidR="009608A3" w:rsidRPr="009608A3" w14:paraId="26CFBFB8" w14:textId="77777777" w:rsidTr="009608A3">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1742A686"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Secure Forensic Workstations</w:t>
            </w:r>
          </w:p>
        </w:tc>
        <w:tc>
          <w:tcPr>
            <w:tcW w:w="2440" w:type="dxa"/>
            <w:tcBorders>
              <w:top w:val="nil"/>
              <w:left w:val="nil"/>
              <w:bottom w:val="single" w:sz="4" w:space="0" w:color="auto"/>
              <w:right w:val="single" w:sz="4" w:space="0" w:color="auto"/>
            </w:tcBorders>
            <w:shd w:val="clear" w:color="auto" w:fill="auto"/>
            <w:noWrap/>
            <w:vAlign w:val="bottom"/>
            <w:hideMark/>
          </w:tcPr>
          <w:p w14:paraId="72FB1E8B"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 xml:space="preserve">$75,000 </w:t>
            </w:r>
          </w:p>
        </w:tc>
      </w:tr>
      <w:tr w:rsidR="009608A3" w:rsidRPr="009608A3" w14:paraId="61268A76" w14:textId="77777777" w:rsidTr="009608A3">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0AFACE30"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Total Tool Investment</w:t>
            </w:r>
          </w:p>
        </w:tc>
        <w:tc>
          <w:tcPr>
            <w:tcW w:w="2440" w:type="dxa"/>
            <w:tcBorders>
              <w:top w:val="nil"/>
              <w:left w:val="nil"/>
              <w:bottom w:val="single" w:sz="4" w:space="0" w:color="auto"/>
              <w:right w:val="single" w:sz="4" w:space="0" w:color="auto"/>
            </w:tcBorders>
            <w:shd w:val="clear" w:color="auto" w:fill="auto"/>
            <w:noWrap/>
            <w:vAlign w:val="bottom"/>
            <w:hideMark/>
          </w:tcPr>
          <w:p w14:paraId="52C4C0D5" w14:textId="77777777" w:rsidR="009608A3" w:rsidRPr="009608A3" w:rsidRDefault="009608A3" w:rsidP="009608A3">
            <w:pPr>
              <w:spacing w:after="0" w:line="240" w:lineRule="auto"/>
              <w:rPr>
                <w:rFonts w:ascii="Calibri" w:eastAsia="Times New Roman" w:hAnsi="Calibri" w:cs="Calibri"/>
                <w:color w:val="000000"/>
                <w:kern w:val="0"/>
                <w:sz w:val="22"/>
                <w:szCs w:val="22"/>
                <w14:ligatures w14:val="none"/>
              </w:rPr>
            </w:pPr>
            <w:r w:rsidRPr="009608A3">
              <w:rPr>
                <w:rFonts w:ascii="Calibri" w:eastAsia="Times New Roman" w:hAnsi="Calibri" w:cs="Calibri"/>
                <w:color w:val="000000"/>
                <w:kern w:val="0"/>
                <w:sz w:val="22"/>
                <w:szCs w:val="22"/>
                <w14:ligatures w14:val="none"/>
              </w:rPr>
              <w:t xml:space="preserve">$775,000 </w:t>
            </w:r>
          </w:p>
        </w:tc>
      </w:tr>
    </w:tbl>
    <w:p w14:paraId="39C63F29" w14:textId="77777777" w:rsidR="00BB1DAD" w:rsidRPr="00240C76" w:rsidRDefault="00BB1DAD" w:rsidP="00240C76">
      <w:pPr>
        <w:rPr>
          <w:rFonts w:ascii="Calibri" w:hAnsi="Calibri" w:cs="Calibri"/>
          <w:sz w:val="22"/>
          <w:szCs w:val="22"/>
          <w:u w:val="single"/>
        </w:rPr>
      </w:pPr>
    </w:p>
    <w:p w14:paraId="0081CB5D" w14:textId="01FE66FB" w:rsidR="00240C76" w:rsidRPr="00373F21" w:rsidRDefault="00971369" w:rsidP="00240C76">
      <w:pPr>
        <w:rPr>
          <w:rFonts w:ascii="Calibri" w:hAnsi="Calibri" w:cs="Calibri"/>
          <w:sz w:val="22"/>
          <w:szCs w:val="22"/>
          <w:u w:val="single"/>
        </w:rPr>
      </w:pPr>
      <w:r w:rsidRPr="00373F21">
        <w:rPr>
          <w:rFonts w:ascii="Calibri" w:hAnsi="Calibri" w:cs="Calibri"/>
          <w:sz w:val="22"/>
          <w:szCs w:val="22"/>
          <w:u w:val="single"/>
        </w:rPr>
        <w:t xml:space="preserve">Training and </w:t>
      </w:r>
      <w:r w:rsidR="00A36265" w:rsidRPr="00373F21">
        <w:rPr>
          <w:rFonts w:ascii="Calibri" w:hAnsi="Calibri" w:cs="Calibri"/>
          <w:sz w:val="22"/>
          <w:szCs w:val="22"/>
          <w:u w:val="single"/>
        </w:rPr>
        <w:t>Continuous Education</w:t>
      </w:r>
    </w:p>
    <w:tbl>
      <w:tblPr>
        <w:tblW w:w="5660" w:type="dxa"/>
        <w:tblLook w:val="04A0" w:firstRow="1" w:lastRow="0" w:firstColumn="1" w:lastColumn="0" w:noHBand="0" w:noVBand="1"/>
      </w:tblPr>
      <w:tblGrid>
        <w:gridCol w:w="4360"/>
        <w:gridCol w:w="1300"/>
      </w:tblGrid>
      <w:tr w:rsidR="00D6015C" w:rsidRPr="00D6015C" w14:paraId="36493706" w14:textId="77777777" w:rsidTr="00D6015C">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1EA02C5"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Training Program</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79791C8D"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Cost per Year</w:t>
            </w:r>
          </w:p>
        </w:tc>
      </w:tr>
      <w:tr w:rsidR="00D6015C" w:rsidRPr="00D6015C" w14:paraId="3CCE3A1A" w14:textId="77777777" w:rsidTr="00D6015C">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31D0A6F0"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Incident Response &amp; Forensics Training</w:t>
            </w:r>
          </w:p>
        </w:tc>
        <w:tc>
          <w:tcPr>
            <w:tcW w:w="1300" w:type="dxa"/>
            <w:tcBorders>
              <w:top w:val="nil"/>
              <w:left w:val="nil"/>
              <w:bottom w:val="single" w:sz="4" w:space="0" w:color="auto"/>
              <w:right w:val="single" w:sz="4" w:space="0" w:color="auto"/>
            </w:tcBorders>
            <w:shd w:val="clear" w:color="auto" w:fill="auto"/>
            <w:noWrap/>
            <w:vAlign w:val="bottom"/>
            <w:hideMark/>
          </w:tcPr>
          <w:p w14:paraId="2CA12326"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 xml:space="preserve">$50,000 </w:t>
            </w:r>
          </w:p>
        </w:tc>
      </w:tr>
      <w:tr w:rsidR="00D6015C" w:rsidRPr="00D6015C" w14:paraId="5C48B9B5" w14:textId="77777777" w:rsidTr="00D6015C">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4E97D45B"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Threat Intelligence Certification Programs</w:t>
            </w:r>
          </w:p>
        </w:tc>
        <w:tc>
          <w:tcPr>
            <w:tcW w:w="1300" w:type="dxa"/>
            <w:tcBorders>
              <w:top w:val="nil"/>
              <w:left w:val="nil"/>
              <w:bottom w:val="single" w:sz="4" w:space="0" w:color="auto"/>
              <w:right w:val="single" w:sz="4" w:space="0" w:color="auto"/>
            </w:tcBorders>
            <w:shd w:val="clear" w:color="auto" w:fill="auto"/>
            <w:noWrap/>
            <w:vAlign w:val="bottom"/>
            <w:hideMark/>
          </w:tcPr>
          <w:p w14:paraId="31BA89E4"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 xml:space="preserve">$40,000 </w:t>
            </w:r>
          </w:p>
        </w:tc>
      </w:tr>
      <w:tr w:rsidR="00D6015C" w:rsidRPr="00D6015C" w14:paraId="7E9908BF" w14:textId="77777777" w:rsidTr="00D6015C">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6D093256"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Red/Blue Team Cybersecurity Exercises</w:t>
            </w:r>
          </w:p>
        </w:tc>
        <w:tc>
          <w:tcPr>
            <w:tcW w:w="1300" w:type="dxa"/>
            <w:tcBorders>
              <w:top w:val="nil"/>
              <w:left w:val="nil"/>
              <w:bottom w:val="single" w:sz="4" w:space="0" w:color="auto"/>
              <w:right w:val="single" w:sz="4" w:space="0" w:color="auto"/>
            </w:tcBorders>
            <w:shd w:val="clear" w:color="auto" w:fill="auto"/>
            <w:noWrap/>
            <w:vAlign w:val="bottom"/>
            <w:hideMark/>
          </w:tcPr>
          <w:p w14:paraId="14DD086D"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 xml:space="preserve">$30,000 </w:t>
            </w:r>
          </w:p>
        </w:tc>
      </w:tr>
      <w:tr w:rsidR="00D6015C" w:rsidRPr="00D6015C" w14:paraId="746288C9" w14:textId="77777777" w:rsidTr="00D6015C">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4FF18EB5"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Total Training Cost</w:t>
            </w:r>
          </w:p>
        </w:tc>
        <w:tc>
          <w:tcPr>
            <w:tcW w:w="1300" w:type="dxa"/>
            <w:tcBorders>
              <w:top w:val="nil"/>
              <w:left w:val="nil"/>
              <w:bottom w:val="single" w:sz="4" w:space="0" w:color="auto"/>
              <w:right w:val="single" w:sz="4" w:space="0" w:color="auto"/>
            </w:tcBorders>
            <w:shd w:val="clear" w:color="auto" w:fill="auto"/>
            <w:noWrap/>
            <w:vAlign w:val="bottom"/>
            <w:hideMark/>
          </w:tcPr>
          <w:p w14:paraId="00FC9165" w14:textId="77777777" w:rsidR="00D6015C" w:rsidRPr="00D6015C" w:rsidRDefault="00D6015C" w:rsidP="00D6015C">
            <w:pPr>
              <w:spacing w:after="0" w:line="240" w:lineRule="auto"/>
              <w:rPr>
                <w:rFonts w:ascii="Calibri" w:eastAsia="Times New Roman" w:hAnsi="Calibri" w:cs="Calibri"/>
                <w:color w:val="000000"/>
                <w:kern w:val="0"/>
                <w:sz w:val="22"/>
                <w:szCs w:val="22"/>
                <w14:ligatures w14:val="none"/>
              </w:rPr>
            </w:pPr>
            <w:r w:rsidRPr="00D6015C">
              <w:rPr>
                <w:rFonts w:ascii="Calibri" w:eastAsia="Times New Roman" w:hAnsi="Calibri" w:cs="Calibri"/>
                <w:color w:val="000000"/>
                <w:kern w:val="0"/>
                <w:sz w:val="22"/>
                <w:szCs w:val="22"/>
                <w14:ligatures w14:val="none"/>
              </w:rPr>
              <w:t xml:space="preserve">$120,000 </w:t>
            </w:r>
          </w:p>
        </w:tc>
      </w:tr>
    </w:tbl>
    <w:p w14:paraId="0ACD7F83" w14:textId="33462FD8" w:rsidR="00971369" w:rsidRPr="00373F21" w:rsidRDefault="00971369" w:rsidP="00240C76">
      <w:pPr>
        <w:rPr>
          <w:rFonts w:ascii="Calibri" w:hAnsi="Calibri" w:cs="Calibri"/>
          <w:sz w:val="22"/>
          <w:szCs w:val="22"/>
          <w:u w:val="single"/>
        </w:rPr>
      </w:pPr>
    </w:p>
    <w:p w14:paraId="52F84854" w14:textId="2FF565C0" w:rsidR="00D6015C" w:rsidRPr="00373F21" w:rsidRDefault="00341364" w:rsidP="00240C76">
      <w:pPr>
        <w:rPr>
          <w:rFonts w:ascii="Calibri" w:hAnsi="Calibri" w:cs="Calibri"/>
          <w:sz w:val="22"/>
          <w:szCs w:val="22"/>
          <w:u w:val="single"/>
        </w:rPr>
      </w:pPr>
      <w:r w:rsidRPr="00373F21">
        <w:rPr>
          <w:rFonts w:ascii="Calibri" w:hAnsi="Calibri" w:cs="Calibri"/>
          <w:sz w:val="22"/>
          <w:szCs w:val="22"/>
          <w:u w:val="single"/>
        </w:rPr>
        <w:t>Operational and Maintenance Costs</w:t>
      </w:r>
    </w:p>
    <w:p w14:paraId="1C37A858" w14:textId="77777777" w:rsidR="00D657C1" w:rsidRPr="00373F21" w:rsidRDefault="00D657C1" w:rsidP="00D657C1">
      <w:pPr>
        <w:pStyle w:val="ListParagraph"/>
        <w:numPr>
          <w:ilvl w:val="0"/>
          <w:numId w:val="29"/>
        </w:numPr>
        <w:rPr>
          <w:rFonts w:ascii="Calibri" w:hAnsi="Calibri" w:cs="Calibri"/>
          <w:sz w:val="22"/>
          <w:szCs w:val="22"/>
        </w:rPr>
      </w:pPr>
      <w:r w:rsidRPr="00373F21">
        <w:rPr>
          <w:rFonts w:ascii="Calibri" w:hAnsi="Calibri" w:cs="Calibri"/>
          <w:sz w:val="22"/>
          <w:szCs w:val="22"/>
        </w:rPr>
        <w:t>Annual maintenance and upgrades for DFIR tools: $200,000</w:t>
      </w:r>
    </w:p>
    <w:p w14:paraId="1E4207B2" w14:textId="77777777" w:rsidR="00D657C1" w:rsidRPr="00373F21" w:rsidRDefault="00D657C1" w:rsidP="00D657C1">
      <w:pPr>
        <w:pStyle w:val="ListParagraph"/>
        <w:numPr>
          <w:ilvl w:val="0"/>
          <w:numId w:val="29"/>
        </w:numPr>
        <w:rPr>
          <w:rFonts w:ascii="Calibri" w:hAnsi="Calibri" w:cs="Calibri"/>
          <w:sz w:val="22"/>
          <w:szCs w:val="22"/>
        </w:rPr>
      </w:pPr>
      <w:r w:rsidRPr="00373F21">
        <w:rPr>
          <w:rFonts w:ascii="Calibri" w:hAnsi="Calibri" w:cs="Calibri"/>
          <w:sz w:val="22"/>
          <w:szCs w:val="22"/>
        </w:rPr>
        <w:t>External compliance audits and assessments: $100,000</w:t>
      </w:r>
    </w:p>
    <w:p w14:paraId="662DF554" w14:textId="77777777" w:rsidR="00D657C1" w:rsidRPr="00373F21" w:rsidRDefault="00D657C1" w:rsidP="00D657C1">
      <w:pPr>
        <w:pStyle w:val="ListParagraph"/>
        <w:numPr>
          <w:ilvl w:val="0"/>
          <w:numId w:val="29"/>
        </w:numPr>
        <w:rPr>
          <w:rFonts w:ascii="Calibri" w:hAnsi="Calibri" w:cs="Calibri"/>
          <w:sz w:val="22"/>
          <w:szCs w:val="22"/>
        </w:rPr>
      </w:pPr>
      <w:r w:rsidRPr="00373F21">
        <w:rPr>
          <w:rFonts w:ascii="Calibri" w:hAnsi="Calibri" w:cs="Calibri"/>
          <w:sz w:val="22"/>
          <w:szCs w:val="22"/>
        </w:rPr>
        <w:t>Total estimated O&amp;M: $300,000</w:t>
      </w:r>
    </w:p>
    <w:p w14:paraId="775FE56C" w14:textId="1C0D2939" w:rsidR="001B2E6C" w:rsidRPr="00373F21" w:rsidRDefault="001B2E6C" w:rsidP="001B2E6C">
      <w:pPr>
        <w:rPr>
          <w:rFonts w:ascii="Calibri" w:hAnsi="Calibri" w:cs="Calibri"/>
          <w:sz w:val="22"/>
          <w:szCs w:val="22"/>
          <w:u w:val="single"/>
        </w:rPr>
      </w:pPr>
      <w:r w:rsidRPr="00373F21">
        <w:rPr>
          <w:rFonts w:ascii="Calibri" w:hAnsi="Calibri" w:cs="Calibri"/>
          <w:sz w:val="22"/>
          <w:szCs w:val="22"/>
          <w:u w:val="single"/>
        </w:rPr>
        <w:t>Total Estimated Costs for DFIR Team</w:t>
      </w:r>
    </w:p>
    <w:tbl>
      <w:tblPr>
        <w:tblW w:w="6040" w:type="dxa"/>
        <w:tblLook w:val="04A0" w:firstRow="1" w:lastRow="0" w:firstColumn="1" w:lastColumn="0" w:noHBand="0" w:noVBand="1"/>
      </w:tblPr>
      <w:tblGrid>
        <w:gridCol w:w="4900"/>
        <w:gridCol w:w="1218"/>
      </w:tblGrid>
      <w:tr w:rsidR="00211DA1" w:rsidRPr="00211DA1" w14:paraId="41E8C6E2" w14:textId="77777777" w:rsidTr="00211DA1">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A0A758" w14:textId="77777777" w:rsidR="00211DA1" w:rsidRPr="00211DA1" w:rsidRDefault="00211DA1" w:rsidP="00211DA1">
            <w:pPr>
              <w:spacing w:after="0" w:line="240" w:lineRule="auto"/>
              <w:rPr>
                <w:rFonts w:ascii="Calibri" w:eastAsia="Times New Roman" w:hAnsi="Calibri" w:cs="Calibri"/>
                <w:b/>
                <w:bCs/>
                <w:color w:val="000000"/>
                <w:kern w:val="0"/>
                <w:sz w:val="22"/>
                <w:szCs w:val="22"/>
                <w14:ligatures w14:val="none"/>
              </w:rPr>
            </w:pPr>
            <w:r w:rsidRPr="00211DA1">
              <w:rPr>
                <w:rFonts w:ascii="Calibri" w:eastAsia="Times New Roman" w:hAnsi="Calibri" w:cs="Calibri"/>
                <w:b/>
                <w:bCs/>
                <w:color w:val="000000"/>
                <w:kern w:val="0"/>
                <w:sz w:val="22"/>
                <w:szCs w:val="22"/>
                <w14:ligatures w14:val="none"/>
              </w:rPr>
              <w:t>Category</w:t>
            </w:r>
          </w:p>
        </w:tc>
        <w:tc>
          <w:tcPr>
            <w:tcW w:w="1140" w:type="dxa"/>
            <w:tcBorders>
              <w:top w:val="single" w:sz="4" w:space="0" w:color="auto"/>
              <w:left w:val="nil"/>
              <w:bottom w:val="single" w:sz="4" w:space="0" w:color="auto"/>
              <w:right w:val="single" w:sz="4" w:space="0" w:color="auto"/>
            </w:tcBorders>
            <w:shd w:val="clear" w:color="000000" w:fill="BFBFBF"/>
            <w:noWrap/>
            <w:vAlign w:val="bottom"/>
            <w:hideMark/>
          </w:tcPr>
          <w:p w14:paraId="3040D2EE" w14:textId="77777777" w:rsidR="00211DA1" w:rsidRPr="00211DA1" w:rsidRDefault="00211DA1" w:rsidP="00211DA1">
            <w:pPr>
              <w:spacing w:after="0" w:line="240" w:lineRule="auto"/>
              <w:rPr>
                <w:rFonts w:ascii="Calibri" w:eastAsia="Times New Roman" w:hAnsi="Calibri" w:cs="Calibri"/>
                <w:b/>
                <w:bCs/>
                <w:color w:val="000000"/>
                <w:kern w:val="0"/>
                <w:sz w:val="22"/>
                <w:szCs w:val="22"/>
                <w14:ligatures w14:val="none"/>
              </w:rPr>
            </w:pPr>
            <w:r w:rsidRPr="00211DA1">
              <w:rPr>
                <w:rFonts w:ascii="Calibri" w:eastAsia="Times New Roman" w:hAnsi="Calibri" w:cs="Calibri"/>
                <w:b/>
                <w:bCs/>
                <w:color w:val="000000"/>
                <w:kern w:val="0"/>
                <w:sz w:val="22"/>
                <w:szCs w:val="22"/>
                <w14:ligatures w14:val="none"/>
              </w:rPr>
              <w:t>Cost</w:t>
            </w:r>
          </w:p>
        </w:tc>
      </w:tr>
      <w:tr w:rsidR="00211DA1" w:rsidRPr="00211DA1" w14:paraId="5FD96707" w14:textId="77777777" w:rsidTr="00211DA1">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1A229E73"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Staffing</w:t>
            </w:r>
          </w:p>
        </w:tc>
        <w:tc>
          <w:tcPr>
            <w:tcW w:w="1140" w:type="dxa"/>
            <w:tcBorders>
              <w:top w:val="nil"/>
              <w:left w:val="nil"/>
              <w:bottom w:val="single" w:sz="4" w:space="0" w:color="auto"/>
              <w:right w:val="single" w:sz="4" w:space="0" w:color="auto"/>
            </w:tcBorders>
            <w:shd w:val="clear" w:color="auto" w:fill="auto"/>
            <w:noWrap/>
            <w:vAlign w:val="bottom"/>
            <w:hideMark/>
          </w:tcPr>
          <w:p w14:paraId="3D256D28"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 xml:space="preserve">$830,000 </w:t>
            </w:r>
          </w:p>
        </w:tc>
      </w:tr>
      <w:tr w:rsidR="00211DA1" w:rsidRPr="00211DA1" w14:paraId="34286E7A" w14:textId="77777777" w:rsidTr="00211DA1">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2526D08"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Tools &amp; Technology</w:t>
            </w:r>
          </w:p>
        </w:tc>
        <w:tc>
          <w:tcPr>
            <w:tcW w:w="1140" w:type="dxa"/>
            <w:tcBorders>
              <w:top w:val="nil"/>
              <w:left w:val="nil"/>
              <w:bottom w:val="single" w:sz="4" w:space="0" w:color="auto"/>
              <w:right w:val="single" w:sz="4" w:space="0" w:color="auto"/>
            </w:tcBorders>
            <w:shd w:val="clear" w:color="auto" w:fill="auto"/>
            <w:noWrap/>
            <w:vAlign w:val="bottom"/>
            <w:hideMark/>
          </w:tcPr>
          <w:p w14:paraId="1F2D9E8E"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 xml:space="preserve">$775,000 </w:t>
            </w:r>
          </w:p>
        </w:tc>
      </w:tr>
      <w:tr w:rsidR="00211DA1" w:rsidRPr="00211DA1" w14:paraId="7557B534" w14:textId="77777777" w:rsidTr="00211DA1">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0E22FD57"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Training &amp; Education</w:t>
            </w:r>
          </w:p>
        </w:tc>
        <w:tc>
          <w:tcPr>
            <w:tcW w:w="1140" w:type="dxa"/>
            <w:tcBorders>
              <w:top w:val="nil"/>
              <w:left w:val="nil"/>
              <w:bottom w:val="single" w:sz="4" w:space="0" w:color="auto"/>
              <w:right w:val="single" w:sz="4" w:space="0" w:color="auto"/>
            </w:tcBorders>
            <w:shd w:val="clear" w:color="auto" w:fill="auto"/>
            <w:noWrap/>
            <w:vAlign w:val="bottom"/>
            <w:hideMark/>
          </w:tcPr>
          <w:p w14:paraId="6F5D9CDD"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 xml:space="preserve">$120,000 </w:t>
            </w:r>
          </w:p>
        </w:tc>
      </w:tr>
      <w:tr w:rsidR="00211DA1" w:rsidRPr="00211DA1" w14:paraId="3DBD2838" w14:textId="77777777" w:rsidTr="00211DA1">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40CF93E3"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Operations &amp; Maintenance</w:t>
            </w:r>
          </w:p>
        </w:tc>
        <w:tc>
          <w:tcPr>
            <w:tcW w:w="1140" w:type="dxa"/>
            <w:tcBorders>
              <w:top w:val="nil"/>
              <w:left w:val="nil"/>
              <w:bottom w:val="single" w:sz="4" w:space="0" w:color="auto"/>
              <w:right w:val="single" w:sz="4" w:space="0" w:color="auto"/>
            </w:tcBorders>
            <w:shd w:val="clear" w:color="auto" w:fill="auto"/>
            <w:noWrap/>
            <w:vAlign w:val="bottom"/>
            <w:hideMark/>
          </w:tcPr>
          <w:p w14:paraId="76693903"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 xml:space="preserve">$300,000 </w:t>
            </w:r>
          </w:p>
        </w:tc>
      </w:tr>
      <w:tr w:rsidR="00211DA1" w:rsidRPr="00211DA1" w14:paraId="656B20A4" w14:textId="77777777" w:rsidTr="00211DA1">
        <w:trPr>
          <w:trHeight w:val="3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1CBCB733"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Total Annual Cost</w:t>
            </w:r>
          </w:p>
        </w:tc>
        <w:tc>
          <w:tcPr>
            <w:tcW w:w="1140" w:type="dxa"/>
            <w:tcBorders>
              <w:top w:val="nil"/>
              <w:left w:val="nil"/>
              <w:bottom w:val="single" w:sz="4" w:space="0" w:color="auto"/>
              <w:right w:val="single" w:sz="4" w:space="0" w:color="auto"/>
            </w:tcBorders>
            <w:shd w:val="clear" w:color="auto" w:fill="auto"/>
            <w:noWrap/>
            <w:vAlign w:val="bottom"/>
            <w:hideMark/>
          </w:tcPr>
          <w:p w14:paraId="0ECCE49D" w14:textId="77777777" w:rsidR="00211DA1" w:rsidRPr="00211DA1" w:rsidRDefault="00211DA1" w:rsidP="00211DA1">
            <w:pPr>
              <w:spacing w:after="0" w:line="240" w:lineRule="auto"/>
              <w:rPr>
                <w:rFonts w:ascii="Calibri" w:eastAsia="Times New Roman" w:hAnsi="Calibri" w:cs="Calibri"/>
                <w:color w:val="000000"/>
                <w:kern w:val="0"/>
                <w:sz w:val="22"/>
                <w:szCs w:val="22"/>
                <w14:ligatures w14:val="none"/>
              </w:rPr>
            </w:pPr>
            <w:r w:rsidRPr="00211DA1">
              <w:rPr>
                <w:rFonts w:ascii="Calibri" w:eastAsia="Times New Roman" w:hAnsi="Calibri" w:cs="Calibri"/>
                <w:color w:val="000000"/>
                <w:kern w:val="0"/>
                <w:sz w:val="22"/>
                <w:szCs w:val="22"/>
                <w14:ligatures w14:val="none"/>
              </w:rPr>
              <w:t xml:space="preserve">$2,025,000 </w:t>
            </w:r>
          </w:p>
        </w:tc>
      </w:tr>
    </w:tbl>
    <w:p w14:paraId="545EAAEF" w14:textId="77777777" w:rsidR="00341364" w:rsidRPr="00373F21" w:rsidRDefault="00341364" w:rsidP="00240C76">
      <w:pPr>
        <w:rPr>
          <w:rFonts w:ascii="Calibri" w:hAnsi="Calibri" w:cs="Calibri"/>
          <w:sz w:val="22"/>
          <w:szCs w:val="22"/>
          <w:u w:val="single"/>
        </w:rPr>
      </w:pPr>
    </w:p>
    <w:p w14:paraId="452BDBD3" w14:textId="77777777" w:rsidR="009566FF" w:rsidRPr="009566FF" w:rsidRDefault="009566FF" w:rsidP="009566FF">
      <w:pPr>
        <w:spacing w:line="480" w:lineRule="auto"/>
        <w:rPr>
          <w:rFonts w:ascii="Calibri" w:hAnsi="Calibri" w:cs="Calibri"/>
          <w:sz w:val="22"/>
          <w:szCs w:val="22"/>
        </w:rPr>
      </w:pPr>
      <w:r w:rsidRPr="009566FF">
        <w:rPr>
          <w:rFonts w:ascii="Calibri" w:hAnsi="Calibri" w:cs="Calibri"/>
          <w:sz w:val="22"/>
          <w:szCs w:val="22"/>
        </w:rPr>
        <w:lastRenderedPageBreak/>
        <w:t>Building an internal DFIR team at Tantalum Defense Technologies is a strategic investment that enhances security resilience, ensures compliance with DoD cybersecurity mandates, and reduces reliance on third-party response teams. While the initial and ongoing costs of maintaining the team amount to approximately $2 million per year, the benefits—including faster incident response, data confidentiality, cost savings, and proactive defense—far outweigh the financial investment. By establishing a well-equipped DFIR team, Tantalum Defense Technologies can safeguard its cloud services, protect national security interests, and maintain operational continuity in the face of evolving cyber threats.</w:t>
      </w:r>
    </w:p>
    <w:p w14:paraId="4BE4472C" w14:textId="4702E3BA" w:rsidR="00A532DA" w:rsidRPr="00373F21" w:rsidRDefault="00237EB1" w:rsidP="00240C76">
      <w:pPr>
        <w:rPr>
          <w:rFonts w:ascii="Calibri" w:hAnsi="Calibri" w:cs="Calibri"/>
          <w:b/>
          <w:bCs/>
          <w:sz w:val="22"/>
          <w:szCs w:val="22"/>
        </w:rPr>
      </w:pPr>
      <w:r w:rsidRPr="00373F21">
        <w:rPr>
          <w:rFonts w:ascii="Calibri" w:hAnsi="Calibri" w:cs="Calibri"/>
          <w:b/>
          <w:bCs/>
          <w:sz w:val="22"/>
          <w:szCs w:val="22"/>
        </w:rPr>
        <w:t>DoD</w:t>
      </w:r>
      <w:r w:rsidR="00A532DA" w:rsidRPr="00373F21">
        <w:rPr>
          <w:rFonts w:ascii="Calibri" w:hAnsi="Calibri" w:cs="Calibri"/>
          <w:b/>
          <w:bCs/>
          <w:sz w:val="22"/>
          <w:szCs w:val="22"/>
        </w:rPr>
        <w:t xml:space="preserve"> </w:t>
      </w:r>
      <w:r w:rsidR="00240C76" w:rsidRPr="00240C76">
        <w:rPr>
          <w:rFonts w:ascii="Calibri" w:hAnsi="Calibri" w:cs="Calibri"/>
          <w:b/>
          <w:bCs/>
          <w:sz w:val="22"/>
          <w:szCs w:val="22"/>
        </w:rPr>
        <w:t>Regulations</w:t>
      </w:r>
      <w:r w:rsidR="00A532DA" w:rsidRPr="00373F21">
        <w:rPr>
          <w:rFonts w:ascii="Calibri" w:hAnsi="Calibri" w:cs="Calibri"/>
          <w:b/>
          <w:bCs/>
          <w:sz w:val="22"/>
          <w:szCs w:val="22"/>
        </w:rPr>
        <w:t xml:space="preserve"> </w:t>
      </w:r>
      <w:r w:rsidR="00240C76" w:rsidRPr="00240C76">
        <w:rPr>
          <w:rFonts w:ascii="Calibri" w:hAnsi="Calibri" w:cs="Calibri"/>
          <w:b/>
          <w:bCs/>
          <w:sz w:val="22"/>
          <w:szCs w:val="22"/>
        </w:rPr>
        <w:t xml:space="preserve">and </w:t>
      </w:r>
      <w:r w:rsidR="00A532DA" w:rsidRPr="00373F21">
        <w:rPr>
          <w:rFonts w:ascii="Calibri" w:hAnsi="Calibri" w:cs="Calibri"/>
          <w:b/>
          <w:bCs/>
          <w:sz w:val="22"/>
          <w:szCs w:val="22"/>
        </w:rPr>
        <w:t>Compliance Requirements</w:t>
      </w:r>
    </w:p>
    <w:p w14:paraId="5780DF68" w14:textId="1D886B8A" w:rsidR="004C5CE9" w:rsidRPr="00373F21" w:rsidRDefault="004C5CE9" w:rsidP="004C5CE9">
      <w:pPr>
        <w:spacing w:line="480" w:lineRule="auto"/>
        <w:rPr>
          <w:rFonts w:ascii="Calibri" w:hAnsi="Calibri" w:cs="Calibri"/>
          <w:sz w:val="22"/>
          <w:szCs w:val="22"/>
        </w:rPr>
      </w:pPr>
      <w:r w:rsidRPr="004C5CE9">
        <w:rPr>
          <w:rFonts w:ascii="Calibri" w:hAnsi="Calibri" w:cs="Calibri"/>
          <w:sz w:val="22"/>
          <w:szCs w:val="22"/>
        </w:rPr>
        <w:t>Tantalum Defense Technologies must adhere to stringent cybersecurity regulations to maintain its position as a DoD cloud services provider. Compliance is critical to ensuring the confidentiality, integrity, and availability of DoD data and systems. Below are the key regulations and frameworks that govern cybersecurity practices within the defense industry.</w:t>
      </w:r>
    </w:p>
    <w:p w14:paraId="7AED1261" w14:textId="77777777" w:rsidR="004237F9" w:rsidRPr="00373F21" w:rsidRDefault="00D62410" w:rsidP="004237F9">
      <w:pPr>
        <w:spacing w:line="480" w:lineRule="auto"/>
        <w:rPr>
          <w:rFonts w:ascii="Calibri" w:hAnsi="Calibri" w:cs="Calibri"/>
          <w:sz w:val="22"/>
          <w:szCs w:val="22"/>
          <w:u w:val="single"/>
        </w:rPr>
      </w:pPr>
      <w:r w:rsidRPr="00D62410">
        <w:rPr>
          <w:rFonts w:ascii="Calibri" w:hAnsi="Calibri" w:cs="Calibri"/>
          <w:sz w:val="22"/>
          <w:szCs w:val="22"/>
          <w:u w:val="single"/>
        </w:rPr>
        <w:t>1. Defense Federal Acquisition Regulation Supplement (DFARS) and NIST 800-171</w:t>
      </w:r>
    </w:p>
    <w:p w14:paraId="4241759B" w14:textId="05ED47ED" w:rsidR="00D62410" w:rsidRPr="00373F21" w:rsidRDefault="00D62410" w:rsidP="004237F9">
      <w:pPr>
        <w:pStyle w:val="ListParagraph"/>
        <w:numPr>
          <w:ilvl w:val="0"/>
          <w:numId w:val="33"/>
        </w:numPr>
        <w:spacing w:line="240" w:lineRule="auto"/>
        <w:rPr>
          <w:rFonts w:ascii="Calibri" w:hAnsi="Calibri" w:cs="Calibri"/>
          <w:sz w:val="22"/>
          <w:szCs w:val="22"/>
          <w:u w:val="single"/>
        </w:rPr>
      </w:pPr>
      <w:r w:rsidRPr="00373F21">
        <w:rPr>
          <w:rFonts w:ascii="Calibri" w:hAnsi="Calibri" w:cs="Calibri"/>
          <w:sz w:val="22"/>
          <w:szCs w:val="22"/>
        </w:rPr>
        <w:t xml:space="preserve">DFARS mandates cybersecurity requirements for defense contractors </w:t>
      </w:r>
      <w:r w:rsidR="00960681" w:rsidRPr="00373F21">
        <w:rPr>
          <w:rFonts w:ascii="Calibri" w:hAnsi="Calibri" w:cs="Calibri"/>
          <w:sz w:val="22"/>
          <w:szCs w:val="22"/>
        </w:rPr>
        <w:t>managing</w:t>
      </w:r>
      <w:r w:rsidRPr="00373F21">
        <w:rPr>
          <w:rFonts w:ascii="Calibri" w:hAnsi="Calibri" w:cs="Calibri"/>
          <w:sz w:val="22"/>
          <w:szCs w:val="22"/>
        </w:rPr>
        <w:t xml:space="preserve"> Controlled Unclassified Information (CUI).</w:t>
      </w:r>
    </w:p>
    <w:p w14:paraId="64499944" w14:textId="77777777" w:rsidR="00D62410" w:rsidRPr="00373F21" w:rsidRDefault="00D62410" w:rsidP="004237F9">
      <w:pPr>
        <w:pStyle w:val="ListParagraph"/>
        <w:numPr>
          <w:ilvl w:val="0"/>
          <w:numId w:val="33"/>
        </w:numPr>
        <w:spacing w:line="240" w:lineRule="auto"/>
        <w:rPr>
          <w:rFonts w:ascii="Calibri" w:hAnsi="Calibri" w:cs="Calibri"/>
          <w:sz w:val="22"/>
          <w:szCs w:val="22"/>
        </w:rPr>
      </w:pPr>
      <w:r w:rsidRPr="00373F21">
        <w:rPr>
          <w:rFonts w:ascii="Calibri" w:hAnsi="Calibri" w:cs="Calibri"/>
          <w:sz w:val="22"/>
          <w:szCs w:val="22"/>
        </w:rPr>
        <w:t>Requires compliance with NIST Special Publication 800-171, which outlines 110 security controls related to access control, incident response, risk management, and encryption.</w:t>
      </w:r>
    </w:p>
    <w:p w14:paraId="7689BD5C" w14:textId="77777777" w:rsidR="00D62410" w:rsidRPr="00373F21" w:rsidRDefault="00D62410" w:rsidP="004237F9">
      <w:pPr>
        <w:pStyle w:val="ListParagraph"/>
        <w:numPr>
          <w:ilvl w:val="0"/>
          <w:numId w:val="33"/>
        </w:numPr>
        <w:spacing w:line="240" w:lineRule="auto"/>
        <w:rPr>
          <w:rFonts w:ascii="Calibri" w:hAnsi="Calibri" w:cs="Calibri"/>
          <w:sz w:val="22"/>
          <w:szCs w:val="22"/>
        </w:rPr>
      </w:pPr>
      <w:r w:rsidRPr="00373F21">
        <w:rPr>
          <w:rFonts w:ascii="Calibri" w:hAnsi="Calibri" w:cs="Calibri"/>
          <w:sz w:val="22"/>
          <w:szCs w:val="22"/>
        </w:rPr>
        <w:t>Failure to comply can result in loss of DoD contracts and fines.</w:t>
      </w:r>
    </w:p>
    <w:p w14:paraId="1CA7FD10" w14:textId="77777777" w:rsidR="00551148" w:rsidRPr="00551148" w:rsidRDefault="00551148" w:rsidP="00551148">
      <w:pPr>
        <w:rPr>
          <w:rFonts w:ascii="Calibri" w:hAnsi="Calibri" w:cs="Calibri"/>
          <w:sz w:val="22"/>
          <w:szCs w:val="22"/>
          <w:u w:val="single"/>
        </w:rPr>
      </w:pPr>
      <w:r w:rsidRPr="00551148">
        <w:rPr>
          <w:rFonts w:ascii="Calibri" w:hAnsi="Calibri" w:cs="Calibri"/>
          <w:sz w:val="22"/>
          <w:szCs w:val="22"/>
          <w:u w:val="single"/>
        </w:rPr>
        <w:t>2. Cybersecurity Maturity Model Certification (CMMC)</w:t>
      </w:r>
    </w:p>
    <w:p w14:paraId="73A42281" w14:textId="77777777" w:rsidR="00551148" w:rsidRPr="00373F21" w:rsidRDefault="00551148" w:rsidP="004237F9">
      <w:pPr>
        <w:pStyle w:val="ListParagraph"/>
        <w:numPr>
          <w:ilvl w:val="0"/>
          <w:numId w:val="32"/>
        </w:numPr>
        <w:rPr>
          <w:rFonts w:ascii="Calibri" w:hAnsi="Calibri" w:cs="Calibri"/>
          <w:sz w:val="22"/>
          <w:szCs w:val="22"/>
        </w:rPr>
      </w:pPr>
      <w:r w:rsidRPr="00373F21">
        <w:rPr>
          <w:rFonts w:ascii="Calibri" w:hAnsi="Calibri" w:cs="Calibri"/>
          <w:sz w:val="22"/>
          <w:szCs w:val="22"/>
        </w:rPr>
        <w:t>Introduced to standardize cybersecurity practices across the defense supply chain.</w:t>
      </w:r>
    </w:p>
    <w:p w14:paraId="7ACCAAF1" w14:textId="77777777" w:rsidR="00551148" w:rsidRPr="00373F21" w:rsidRDefault="00551148" w:rsidP="004237F9">
      <w:pPr>
        <w:pStyle w:val="ListParagraph"/>
        <w:numPr>
          <w:ilvl w:val="0"/>
          <w:numId w:val="32"/>
        </w:numPr>
        <w:rPr>
          <w:rFonts w:ascii="Calibri" w:hAnsi="Calibri" w:cs="Calibri"/>
          <w:sz w:val="22"/>
          <w:szCs w:val="22"/>
        </w:rPr>
      </w:pPr>
      <w:r w:rsidRPr="00373F21">
        <w:rPr>
          <w:rFonts w:ascii="Calibri" w:hAnsi="Calibri" w:cs="Calibri"/>
          <w:sz w:val="22"/>
          <w:szCs w:val="22"/>
        </w:rPr>
        <w:t>Includes five maturity levels ranging from basic cyber hygiene (Level 1) to advanced/progressive cybersecurity practices (Level 5).</w:t>
      </w:r>
    </w:p>
    <w:p w14:paraId="18C6D7F7" w14:textId="77777777" w:rsidR="00551148" w:rsidRPr="00373F21" w:rsidRDefault="00551148" w:rsidP="004237F9">
      <w:pPr>
        <w:pStyle w:val="ListParagraph"/>
        <w:numPr>
          <w:ilvl w:val="0"/>
          <w:numId w:val="32"/>
        </w:numPr>
        <w:rPr>
          <w:rFonts w:ascii="Calibri" w:hAnsi="Calibri" w:cs="Calibri"/>
          <w:sz w:val="22"/>
          <w:szCs w:val="22"/>
        </w:rPr>
      </w:pPr>
      <w:r w:rsidRPr="00373F21">
        <w:rPr>
          <w:rFonts w:ascii="Calibri" w:hAnsi="Calibri" w:cs="Calibri"/>
          <w:sz w:val="22"/>
          <w:szCs w:val="22"/>
        </w:rPr>
        <w:t>Requires third-party audits to verify compliance, ensuring that contractors properly safeguard sensitive information.</w:t>
      </w:r>
    </w:p>
    <w:p w14:paraId="1F57CE50" w14:textId="576F7DE8" w:rsidR="00551148" w:rsidRPr="00373F21" w:rsidRDefault="00551148" w:rsidP="004237F9">
      <w:pPr>
        <w:pStyle w:val="ListParagraph"/>
        <w:numPr>
          <w:ilvl w:val="0"/>
          <w:numId w:val="32"/>
        </w:numPr>
        <w:rPr>
          <w:rFonts w:ascii="Calibri" w:hAnsi="Calibri" w:cs="Calibri"/>
          <w:sz w:val="22"/>
          <w:szCs w:val="22"/>
        </w:rPr>
      </w:pPr>
      <w:r w:rsidRPr="00373F21">
        <w:rPr>
          <w:rFonts w:ascii="Calibri" w:hAnsi="Calibri" w:cs="Calibri"/>
          <w:sz w:val="22"/>
          <w:szCs w:val="22"/>
        </w:rPr>
        <w:t xml:space="preserve">Tantalum Defense Technologies must achieve at least CMMC Level 3 to </w:t>
      </w:r>
      <w:r w:rsidR="00894EBD" w:rsidRPr="00373F21">
        <w:rPr>
          <w:rFonts w:ascii="Calibri" w:hAnsi="Calibri" w:cs="Calibri"/>
          <w:sz w:val="22"/>
          <w:szCs w:val="22"/>
        </w:rPr>
        <w:t>manage</w:t>
      </w:r>
      <w:r w:rsidRPr="00373F21">
        <w:rPr>
          <w:rFonts w:ascii="Calibri" w:hAnsi="Calibri" w:cs="Calibri"/>
          <w:sz w:val="22"/>
          <w:szCs w:val="22"/>
        </w:rPr>
        <w:t xml:space="preserve"> Controlled Unclassified Information (CUI) for DoD operations.</w:t>
      </w:r>
    </w:p>
    <w:p w14:paraId="2408B02F" w14:textId="77777777" w:rsidR="008C2640" w:rsidRPr="008C2640" w:rsidRDefault="008C2640" w:rsidP="008C2640">
      <w:pPr>
        <w:rPr>
          <w:rFonts w:ascii="Calibri" w:hAnsi="Calibri" w:cs="Calibri"/>
          <w:sz w:val="22"/>
          <w:szCs w:val="22"/>
          <w:u w:val="single"/>
        </w:rPr>
      </w:pPr>
      <w:r w:rsidRPr="008C2640">
        <w:rPr>
          <w:rFonts w:ascii="Calibri" w:hAnsi="Calibri" w:cs="Calibri"/>
          <w:sz w:val="22"/>
          <w:szCs w:val="22"/>
          <w:u w:val="single"/>
        </w:rPr>
        <w:t>3. Federal Information Security Modernization Act (FISMA)</w:t>
      </w:r>
    </w:p>
    <w:p w14:paraId="7C5BBEF5" w14:textId="5A021320" w:rsidR="008C2640" w:rsidRPr="00373F21" w:rsidRDefault="0026198D" w:rsidP="008C2640">
      <w:pPr>
        <w:pStyle w:val="ListParagraph"/>
        <w:numPr>
          <w:ilvl w:val="0"/>
          <w:numId w:val="35"/>
        </w:numPr>
        <w:rPr>
          <w:rFonts w:ascii="Calibri" w:hAnsi="Calibri" w:cs="Calibri"/>
          <w:sz w:val="22"/>
          <w:szCs w:val="22"/>
        </w:rPr>
      </w:pPr>
      <w:r w:rsidRPr="00373F21">
        <w:rPr>
          <w:rFonts w:ascii="Calibri" w:hAnsi="Calibri" w:cs="Calibri"/>
          <w:sz w:val="22"/>
          <w:szCs w:val="22"/>
        </w:rPr>
        <w:t>Establish</w:t>
      </w:r>
      <w:r w:rsidR="008C2640" w:rsidRPr="00373F21">
        <w:rPr>
          <w:rFonts w:ascii="Calibri" w:hAnsi="Calibri" w:cs="Calibri"/>
          <w:sz w:val="22"/>
          <w:szCs w:val="22"/>
        </w:rPr>
        <w:t xml:space="preserve"> cybersecurity guidelines for federal agencies and contractors.</w:t>
      </w:r>
    </w:p>
    <w:p w14:paraId="66B9AC92" w14:textId="71CCCA75" w:rsidR="008C2640" w:rsidRPr="00373F21" w:rsidRDefault="0026198D" w:rsidP="008C2640">
      <w:pPr>
        <w:pStyle w:val="ListParagraph"/>
        <w:numPr>
          <w:ilvl w:val="0"/>
          <w:numId w:val="35"/>
        </w:numPr>
        <w:rPr>
          <w:rFonts w:ascii="Calibri" w:hAnsi="Calibri" w:cs="Calibri"/>
          <w:sz w:val="22"/>
          <w:szCs w:val="22"/>
        </w:rPr>
      </w:pPr>
      <w:r w:rsidRPr="00373F21">
        <w:rPr>
          <w:rFonts w:ascii="Calibri" w:hAnsi="Calibri" w:cs="Calibri"/>
          <w:sz w:val="22"/>
          <w:szCs w:val="22"/>
        </w:rPr>
        <w:t>Require</w:t>
      </w:r>
      <w:r w:rsidR="008C2640" w:rsidRPr="00373F21">
        <w:rPr>
          <w:rFonts w:ascii="Calibri" w:hAnsi="Calibri" w:cs="Calibri"/>
          <w:sz w:val="22"/>
          <w:szCs w:val="22"/>
        </w:rPr>
        <w:t xml:space="preserve"> risk assessments, continuous monitoring, and the implementation of security policies.</w:t>
      </w:r>
    </w:p>
    <w:p w14:paraId="7C1E48B5" w14:textId="3C8D2866" w:rsidR="008C2640" w:rsidRPr="00373F21" w:rsidRDefault="0026198D" w:rsidP="008C2640">
      <w:pPr>
        <w:pStyle w:val="ListParagraph"/>
        <w:numPr>
          <w:ilvl w:val="0"/>
          <w:numId w:val="35"/>
        </w:numPr>
        <w:rPr>
          <w:rFonts w:ascii="Calibri" w:hAnsi="Calibri" w:cs="Calibri"/>
          <w:sz w:val="22"/>
          <w:szCs w:val="22"/>
        </w:rPr>
      </w:pPr>
      <w:r w:rsidRPr="00373F21">
        <w:rPr>
          <w:rFonts w:ascii="Calibri" w:hAnsi="Calibri" w:cs="Calibri"/>
          <w:sz w:val="22"/>
          <w:szCs w:val="22"/>
        </w:rPr>
        <w:lastRenderedPageBreak/>
        <w:t>Enforce</w:t>
      </w:r>
      <w:r w:rsidR="008C2640" w:rsidRPr="00373F21">
        <w:rPr>
          <w:rFonts w:ascii="Calibri" w:hAnsi="Calibri" w:cs="Calibri"/>
          <w:sz w:val="22"/>
          <w:szCs w:val="22"/>
        </w:rPr>
        <w:t xml:space="preserve"> compliance through audits conducted by the Office of Management and Budget (OMB) and National Institute of Standards and Technology (NIST).</w:t>
      </w:r>
    </w:p>
    <w:p w14:paraId="48814225" w14:textId="2D82D177" w:rsidR="00B3670A" w:rsidRPr="00B3670A" w:rsidRDefault="00B3670A" w:rsidP="00B3670A">
      <w:pPr>
        <w:rPr>
          <w:rFonts w:ascii="Calibri" w:hAnsi="Calibri" w:cs="Calibri"/>
          <w:sz w:val="22"/>
          <w:szCs w:val="22"/>
          <w:u w:val="single"/>
        </w:rPr>
      </w:pPr>
      <w:r w:rsidRPr="00B3670A">
        <w:rPr>
          <w:rFonts w:ascii="Calibri" w:hAnsi="Calibri" w:cs="Calibri"/>
          <w:sz w:val="22"/>
          <w:szCs w:val="22"/>
          <w:u w:val="single"/>
        </w:rPr>
        <w:t xml:space="preserve">Failure to adhere to </w:t>
      </w:r>
      <w:r w:rsidR="00CF5787">
        <w:rPr>
          <w:rFonts w:ascii="Calibri" w:hAnsi="Calibri" w:cs="Calibri"/>
          <w:sz w:val="22"/>
          <w:szCs w:val="22"/>
          <w:u w:val="single"/>
        </w:rPr>
        <w:t xml:space="preserve">DoD </w:t>
      </w:r>
      <w:r w:rsidRPr="00B3670A">
        <w:rPr>
          <w:rFonts w:ascii="Calibri" w:hAnsi="Calibri" w:cs="Calibri"/>
          <w:sz w:val="22"/>
          <w:szCs w:val="22"/>
          <w:u w:val="single"/>
        </w:rPr>
        <w:t>regulations:</w:t>
      </w:r>
    </w:p>
    <w:p w14:paraId="21D35C10" w14:textId="77777777" w:rsidR="00B3670A" w:rsidRPr="00373F21" w:rsidRDefault="00B3670A" w:rsidP="000C1630">
      <w:pPr>
        <w:pStyle w:val="ListParagraph"/>
        <w:numPr>
          <w:ilvl w:val="0"/>
          <w:numId w:val="37"/>
        </w:numPr>
        <w:rPr>
          <w:rFonts w:ascii="Calibri" w:hAnsi="Calibri" w:cs="Calibri"/>
          <w:sz w:val="22"/>
          <w:szCs w:val="22"/>
        </w:rPr>
      </w:pPr>
      <w:r w:rsidRPr="00373F21">
        <w:rPr>
          <w:rFonts w:ascii="Calibri" w:hAnsi="Calibri" w:cs="Calibri"/>
          <w:sz w:val="22"/>
          <w:szCs w:val="22"/>
        </w:rPr>
        <w:t>Loss of DoD Contracts – Non-compliance with DFARS, CMMC, or NIST 800-171 could result in contract termination.</w:t>
      </w:r>
    </w:p>
    <w:p w14:paraId="447F8464" w14:textId="77777777" w:rsidR="00B3670A" w:rsidRPr="00373F21" w:rsidRDefault="00B3670A" w:rsidP="000C1630">
      <w:pPr>
        <w:pStyle w:val="ListParagraph"/>
        <w:numPr>
          <w:ilvl w:val="0"/>
          <w:numId w:val="37"/>
        </w:numPr>
        <w:rPr>
          <w:rFonts w:ascii="Calibri" w:hAnsi="Calibri" w:cs="Calibri"/>
          <w:sz w:val="22"/>
          <w:szCs w:val="22"/>
        </w:rPr>
      </w:pPr>
      <w:r w:rsidRPr="00373F21">
        <w:rPr>
          <w:rFonts w:ascii="Calibri" w:hAnsi="Calibri" w:cs="Calibri"/>
          <w:sz w:val="22"/>
          <w:szCs w:val="22"/>
        </w:rPr>
        <w:t>Fines and Legal Penalties – Regulatory bodies can impose hefty fines for failing to meet compliance requirements.</w:t>
      </w:r>
    </w:p>
    <w:p w14:paraId="6B06BB1B" w14:textId="77777777" w:rsidR="00B3670A" w:rsidRPr="00373F21" w:rsidRDefault="00B3670A" w:rsidP="000C1630">
      <w:pPr>
        <w:pStyle w:val="ListParagraph"/>
        <w:numPr>
          <w:ilvl w:val="0"/>
          <w:numId w:val="37"/>
        </w:numPr>
        <w:rPr>
          <w:rFonts w:ascii="Calibri" w:hAnsi="Calibri" w:cs="Calibri"/>
          <w:sz w:val="22"/>
          <w:szCs w:val="22"/>
        </w:rPr>
      </w:pPr>
      <w:r w:rsidRPr="00373F21">
        <w:rPr>
          <w:rFonts w:ascii="Calibri" w:hAnsi="Calibri" w:cs="Calibri"/>
          <w:sz w:val="22"/>
          <w:szCs w:val="22"/>
        </w:rPr>
        <w:t>Reputational Damage – Cybersecurity lapses can erode trust with the DoD, reducing future business opportunities.</w:t>
      </w:r>
    </w:p>
    <w:p w14:paraId="7C44DF49" w14:textId="77777777" w:rsidR="00B3670A" w:rsidRPr="00373F21" w:rsidRDefault="00B3670A" w:rsidP="000C1630">
      <w:pPr>
        <w:pStyle w:val="ListParagraph"/>
        <w:numPr>
          <w:ilvl w:val="0"/>
          <w:numId w:val="37"/>
        </w:numPr>
        <w:rPr>
          <w:rFonts w:ascii="Calibri" w:hAnsi="Calibri" w:cs="Calibri"/>
          <w:sz w:val="22"/>
          <w:szCs w:val="22"/>
        </w:rPr>
      </w:pPr>
      <w:r w:rsidRPr="00373F21">
        <w:rPr>
          <w:rFonts w:ascii="Calibri" w:hAnsi="Calibri" w:cs="Calibri"/>
          <w:sz w:val="22"/>
          <w:szCs w:val="22"/>
        </w:rPr>
        <w:t>Increased Cyber Risk – Lapses in compliance expose Tantalum Defense Technologies to a higher likelihood of data breaches and cyberattacks.</w:t>
      </w:r>
    </w:p>
    <w:p w14:paraId="07715641" w14:textId="4B3566FC" w:rsidR="00115ECF" w:rsidRPr="00115ECF" w:rsidRDefault="00315CBE" w:rsidP="00115ECF">
      <w:pPr>
        <w:rPr>
          <w:rFonts w:ascii="Calibri" w:hAnsi="Calibri" w:cs="Calibri"/>
          <w:b/>
          <w:bCs/>
          <w:sz w:val="22"/>
          <w:szCs w:val="22"/>
        </w:rPr>
      </w:pPr>
      <w:r w:rsidRPr="00373F21">
        <w:rPr>
          <w:rFonts w:ascii="Calibri" w:hAnsi="Calibri" w:cs="Calibri"/>
          <w:b/>
          <w:bCs/>
          <w:sz w:val="22"/>
          <w:szCs w:val="22"/>
        </w:rPr>
        <w:t>Conclusion</w:t>
      </w:r>
    </w:p>
    <w:p w14:paraId="2206B35D" w14:textId="77777777" w:rsidR="00115ECF" w:rsidRPr="00115ECF" w:rsidRDefault="00115ECF" w:rsidP="002055F7">
      <w:pPr>
        <w:spacing w:line="480" w:lineRule="auto"/>
        <w:rPr>
          <w:rFonts w:ascii="Calibri" w:hAnsi="Calibri" w:cs="Calibri"/>
          <w:sz w:val="22"/>
          <w:szCs w:val="22"/>
        </w:rPr>
      </w:pPr>
      <w:r w:rsidRPr="00115ECF">
        <w:rPr>
          <w:rFonts w:ascii="Calibri" w:hAnsi="Calibri" w:cs="Calibri"/>
          <w:sz w:val="22"/>
          <w:szCs w:val="22"/>
        </w:rPr>
        <w:t>Tantalum Defense Technologies operates within a high-risk environment where cyber threats are increasingly sophisticated and persistent. Given the nature of its work as a DoD cloud services provider, the company is a prime target for cybercriminals, nation-state actors, and insider threats. Without an internal DFIR team, the company risks prolonged downtime, financial losses, regulatory penalties, and compromised national security.</w:t>
      </w:r>
    </w:p>
    <w:p w14:paraId="761BAFA7" w14:textId="77777777" w:rsidR="00115ECF" w:rsidRPr="00115ECF" w:rsidRDefault="00115ECF" w:rsidP="002055F7">
      <w:pPr>
        <w:spacing w:line="480" w:lineRule="auto"/>
        <w:rPr>
          <w:rFonts w:ascii="Calibri" w:hAnsi="Calibri" w:cs="Calibri"/>
          <w:sz w:val="22"/>
          <w:szCs w:val="22"/>
        </w:rPr>
      </w:pPr>
      <w:r w:rsidRPr="00115ECF">
        <w:rPr>
          <w:rFonts w:ascii="Calibri" w:hAnsi="Calibri" w:cs="Calibri"/>
          <w:sz w:val="22"/>
          <w:szCs w:val="22"/>
        </w:rPr>
        <w:t>This report has demonstrated that cybersecurity incidents are not a matter of if, but when. As evidenced by past breaches in the defense industry, organizations must be proactive in developing robust incident response mechanisms to detect, contain, and remediate threats efficiently. By establishing a well-equipped internal DFIR team, Tantalum Defense Technologies can reduce its response time to security incidents, ensure compliance with stringent DoD cybersecurity regulations, and protect its mission-critical cloud services.</w:t>
      </w:r>
    </w:p>
    <w:p w14:paraId="359CFBB8" w14:textId="77777777" w:rsidR="00F76B8C" w:rsidRDefault="00115ECF" w:rsidP="003B6BC0">
      <w:pPr>
        <w:spacing w:line="480" w:lineRule="auto"/>
        <w:contextualSpacing/>
        <w:rPr>
          <w:rFonts w:ascii="Calibri" w:hAnsi="Calibri" w:cs="Calibri"/>
          <w:sz w:val="22"/>
          <w:szCs w:val="22"/>
        </w:rPr>
      </w:pPr>
      <w:r w:rsidRPr="00115ECF">
        <w:rPr>
          <w:rFonts w:ascii="Calibri" w:hAnsi="Calibri" w:cs="Calibri"/>
          <w:sz w:val="22"/>
          <w:szCs w:val="22"/>
        </w:rPr>
        <w:t>The financial investment in an internal DFIR team is justified by the long-term cost savings and risk mitigation benefits. The ability to respond swiftly to security incidents, maintain operational resilience, and uphold contractual obligations with the DoD will solidify Tantalum Defense Technologies' reputation as a trusted defense contractor.</w:t>
      </w:r>
      <w:r w:rsidR="000D7D87">
        <w:rPr>
          <w:rFonts w:ascii="Calibri" w:hAnsi="Calibri" w:cs="Calibri"/>
          <w:sz w:val="22"/>
          <w:szCs w:val="22"/>
        </w:rPr>
        <w:t xml:space="preserve"> </w:t>
      </w:r>
    </w:p>
    <w:p w14:paraId="1515A013" w14:textId="727CB79D" w:rsidR="003B6BC0" w:rsidRPr="003B6BC0" w:rsidRDefault="003B6BC0" w:rsidP="003B6BC0">
      <w:pPr>
        <w:spacing w:line="480" w:lineRule="auto"/>
        <w:contextualSpacing/>
        <w:rPr>
          <w:rFonts w:ascii="Calibri" w:hAnsi="Calibri" w:cs="Calibri"/>
          <w:sz w:val="22"/>
          <w:szCs w:val="22"/>
        </w:rPr>
      </w:pPr>
      <w:r w:rsidRPr="003B6BC0">
        <w:rPr>
          <w:rFonts w:ascii="Calibri" w:hAnsi="Calibri" w:cs="Calibri"/>
          <w:sz w:val="22"/>
          <w:szCs w:val="22"/>
        </w:rPr>
        <w:lastRenderedPageBreak/>
        <w:t>The dynamic nature of cyber threats means that Tantalum Defense Technologies must remain vigilant and adaptable to emerging risks. Cyber adversaries are continuously evolving their attack techniques, making it imperative that the organization not only respond</w:t>
      </w:r>
      <w:r w:rsidR="00243AED">
        <w:rPr>
          <w:rFonts w:ascii="Calibri" w:hAnsi="Calibri" w:cs="Calibri"/>
          <w:sz w:val="22"/>
          <w:szCs w:val="22"/>
        </w:rPr>
        <w:t>s</w:t>
      </w:r>
      <w:r w:rsidRPr="003B6BC0">
        <w:rPr>
          <w:rFonts w:ascii="Calibri" w:hAnsi="Calibri" w:cs="Calibri"/>
          <w:sz w:val="22"/>
          <w:szCs w:val="22"/>
        </w:rPr>
        <w:t xml:space="preserve"> effectively to incidents but also proactively enhances its security posture. An internal DFIR team provides the necessary agility to investigate threats, contain breaches, and recover swiftly, ensuring that operations remain uninterrupted.</w:t>
      </w:r>
    </w:p>
    <w:p w14:paraId="79AAC879" w14:textId="5CDE3494" w:rsidR="003B6BC0" w:rsidRDefault="003B6BC0" w:rsidP="003B6BC0">
      <w:pPr>
        <w:spacing w:line="480" w:lineRule="auto"/>
        <w:rPr>
          <w:rFonts w:ascii="Calibri" w:hAnsi="Calibri" w:cs="Calibri"/>
          <w:sz w:val="22"/>
          <w:szCs w:val="22"/>
        </w:rPr>
      </w:pPr>
      <w:r w:rsidRPr="003B6BC0">
        <w:rPr>
          <w:rFonts w:ascii="Calibri" w:hAnsi="Calibri" w:cs="Calibri"/>
          <w:sz w:val="22"/>
          <w:szCs w:val="22"/>
        </w:rPr>
        <w:t xml:space="preserve">By integrating advanced threat intelligence, continuous monitoring, and DoD-aligned security practices, Tantalum Defense Technologies can stay ahead of potential attacks. The key to long-term resilience lies in fostering a culture of cybersecurity awareness, investing in </w:t>
      </w:r>
      <w:r w:rsidR="00896945" w:rsidRPr="003B6BC0">
        <w:rPr>
          <w:rFonts w:ascii="Calibri" w:hAnsi="Calibri" w:cs="Calibri"/>
          <w:sz w:val="22"/>
          <w:szCs w:val="22"/>
        </w:rPr>
        <w:t>innovative</w:t>
      </w:r>
      <w:r w:rsidRPr="003B6BC0">
        <w:rPr>
          <w:rFonts w:ascii="Calibri" w:hAnsi="Calibri" w:cs="Calibri"/>
          <w:sz w:val="22"/>
          <w:szCs w:val="22"/>
        </w:rPr>
        <w:t xml:space="preserve"> defense technologies, and maintaining a robust incident response framework. As the landscape of cyber warfare continues to shift, a proactive and well-equipped DFIR team will serve as the foundation for maintaining national security and securing DoD cloud operations.</w:t>
      </w:r>
    </w:p>
    <w:p w14:paraId="359AC89C" w14:textId="77777777" w:rsidR="00A10894" w:rsidRDefault="00A10894" w:rsidP="003B6BC0">
      <w:pPr>
        <w:spacing w:line="480" w:lineRule="auto"/>
        <w:rPr>
          <w:rFonts w:ascii="Calibri" w:hAnsi="Calibri" w:cs="Calibri"/>
          <w:sz w:val="22"/>
          <w:szCs w:val="22"/>
        </w:rPr>
      </w:pPr>
    </w:p>
    <w:p w14:paraId="6B06596A" w14:textId="77777777" w:rsidR="00A10894" w:rsidRDefault="00A10894" w:rsidP="003B6BC0">
      <w:pPr>
        <w:spacing w:line="480" w:lineRule="auto"/>
        <w:rPr>
          <w:rFonts w:ascii="Calibri" w:hAnsi="Calibri" w:cs="Calibri"/>
          <w:sz w:val="22"/>
          <w:szCs w:val="22"/>
        </w:rPr>
      </w:pPr>
    </w:p>
    <w:p w14:paraId="5D618D2C" w14:textId="77777777" w:rsidR="00A10894" w:rsidRDefault="00A10894" w:rsidP="003B6BC0">
      <w:pPr>
        <w:spacing w:line="480" w:lineRule="auto"/>
        <w:rPr>
          <w:rFonts w:ascii="Calibri" w:hAnsi="Calibri" w:cs="Calibri"/>
          <w:sz w:val="22"/>
          <w:szCs w:val="22"/>
        </w:rPr>
      </w:pPr>
    </w:p>
    <w:p w14:paraId="604294D6" w14:textId="77777777" w:rsidR="00A10894" w:rsidRDefault="00A10894" w:rsidP="003B6BC0">
      <w:pPr>
        <w:spacing w:line="480" w:lineRule="auto"/>
        <w:rPr>
          <w:rFonts w:ascii="Calibri" w:hAnsi="Calibri" w:cs="Calibri"/>
          <w:sz w:val="22"/>
          <w:szCs w:val="22"/>
        </w:rPr>
      </w:pPr>
    </w:p>
    <w:p w14:paraId="4FBAEEF4" w14:textId="77777777" w:rsidR="00A10894" w:rsidRDefault="00A10894" w:rsidP="003B6BC0">
      <w:pPr>
        <w:spacing w:line="480" w:lineRule="auto"/>
        <w:rPr>
          <w:rFonts w:ascii="Calibri" w:hAnsi="Calibri" w:cs="Calibri"/>
          <w:sz w:val="22"/>
          <w:szCs w:val="22"/>
        </w:rPr>
      </w:pPr>
    </w:p>
    <w:p w14:paraId="1AE2E364" w14:textId="77777777" w:rsidR="00C671B6" w:rsidRDefault="00C671B6" w:rsidP="003B6BC0">
      <w:pPr>
        <w:spacing w:line="480" w:lineRule="auto"/>
        <w:rPr>
          <w:rFonts w:ascii="Calibri" w:hAnsi="Calibri" w:cs="Calibri"/>
          <w:sz w:val="22"/>
          <w:szCs w:val="22"/>
        </w:rPr>
      </w:pPr>
    </w:p>
    <w:p w14:paraId="0EF77015" w14:textId="77777777" w:rsidR="00C671B6" w:rsidRDefault="00C671B6" w:rsidP="003B6BC0">
      <w:pPr>
        <w:spacing w:line="480" w:lineRule="auto"/>
        <w:rPr>
          <w:rFonts w:ascii="Calibri" w:hAnsi="Calibri" w:cs="Calibri"/>
          <w:sz w:val="22"/>
          <w:szCs w:val="22"/>
        </w:rPr>
      </w:pPr>
    </w:p>
    <w:p w14:paraId="4A6F666B" w14:textId="77777777" w:rsidR="00C671B6" w:rsidRDefault="00C671B6" w:rsidP="003B6BC0">
      <w:pPr>
        <w:spacing w:line="480" w:lineRule="auto"/>
        <w:rPr>
          <w:rFonts w:ascii="Calibri" w:hAnsi="Calibri" w:cs="Calibri"/>
          <w:sz w:val="22"/>
          <w:szCs w:val="22"/>
        </w:rPr>
      </w:pPr>
    </w:p>
    <w:p w14:paraId="061CFD22" w14:textId="77777777" w:rsidR="00C671B6" w:rsidRDefault="00C671B6" w:rsidP="003B6BC0">
      <w:pPr>
        <w:spacing w:line="480" w:lineRule="auto"/>
        <w:rPr>
          <w:rFonts w:ascii="Calibri" w:hAnsi="Calibri" w:cs="Calibri"/>
          <w:sz w:val="22"/>
          <w:szCs w:val="22"/>
        </w:rPr>
      </w:pPr>
    </w:p>
    <w:p w14:paraId="09AA6DB4" w14:textId="77777777" w:rsidR="00C671B6" w:rsidRDefault="00C671B6" w:rsidP="003B6BC0">
      <w:pPr>
        <w:spacing w:line="480" w:lineRule="auto"/>
        <w:rPr>
          <w:rFonts w:ascii="Calibri" w:hAnsi="Calibri" w:cs="Calibri"/>
          <w:sz w:val="22"/>
          <w:szCs w:val="22"/>
        </w:rPr>
      </w:pPr>
    </w:p>
    <w:p w14:paraId="68FBFD17" w14:textId="2BE0C539" w:rsidR="005B4191" w:rsidRDefault="00C671B6" w:rsidP="00BB39DF">
      <w:pPr>
        <w:spacing w:line="480" w:lineRule="auto"/>
        <w:jc w:val="center"/>
        <w:rPr>
          <w:rFonts w:ascii="Calibri" w:hAnsi="Calibri" w:cs="Calibri"/>
          <w:b/>
          <w:bCs/>
          <w:sz w:val="22"/>
          <w:szCs w:val="22"/>
        </w:rPr>
      </w:pPr>
      <w:r w:rsidRPr="00C671B6">
        <w:rPr>
          <w:rFonts w:ascii="Calibri" w:hAnsi="Calibri" w:cs="Calibri"/>
          <w:b/>
          <w:bCs/>
          <w:sz w:val="22"/>
          <w:szCs w:val="22"/>
        </w:rPr>
        <w:lastRenderedPageBreak/>
        <w:t>References</w:t>
      </w:r>
    </w:p>
    <w:sdt>
      <w:sdtPr>
        <w:id w:val="1046881900"/>
        <w:docPartObj>
          <w:docPartGallery w:val="Bibliographies"/>
          <w:docPartUnique/>
        </w:docPartObj>
      </w:sdtPr>
      <w:sdtContent>
        <w:p w14:paraId="07AC26E9" w14:textId="4F136026" w:rsidR="00BB39DF" w:rsidRPr="00BB39DF" w:rsidRDefault="00BB39DF" w:rsidP="00BB39DF"/>
        <w:sdt>
          <w:sdtPr>
            <w:id w:val="-573587230"/>
            <w:bibliography/>
          </w:sdtPr>
          <w:sdtContent>
            <w:p w14:paraId="4F486C21" w14:textId="77777777" w:rsidR="00BB39DF" w:rsidRPr="00BB39DF" w:rsidRDefault="00BB39DF" w:rsidP="00BB39DF">
              <w:r w:rsidRPr="00BB39DF">
                <w:fldChar w:fldCharType="begin"/>
              </w:r>
              <w:r w:rsidRPr="00BB39DF">
                <w:instrText xml:space="preserve"> BIBLIOGRAPHY </w:instrText>
              </w:r>
              <w:r w:rsidRPr="00BB39DF">
                <w:fldChar w:fldCharType="separate"/>
              </w:r>
              <w:r w:rsidRPr="00BB39DF">
                <w:t>CISA. (n.d.). CISA Cyber Threat Reports. Retrieved from www.cisa.gov</w:t>
              </w:r>
            </w:p>
            <w:p w14:paraId="286905BB" w14:textId="3176F9BC" w:rsidR="00BB39DF" w:rsidRPr="00BB39DF" w:rsidRDefault="00BB39DF" w:rsidP="00BB39DF">
              <w:r w:rsidRPr="00BB39DF">
                <w:t xml:space="preserve">CISA. (n.d.). Cybersecurity Maturity Model Certification (CMMC). </w:t>
              </w:r>
            </w:p>
            <w:p w14:paraId="600DA54F" w14:textId="77777777" w:rsidR="00BB39DF" w:rsidRPr="00BB39DF" w:rsidRDefault="00BB39DF" w:rsidP="00BB39DF">
              <w:r w:rsidRPr="00BB39DF">
                <w:t>DFARS. (n.d.). DFARS Cybersecurity Requirements. Retrieved from https://www.acq.osd.mil/dpap/dars/dfars/html/current/252204.htm</w:t>
              </w:r>
            </w:p>
            <w:p w14:paraId="068BA164" w14:textId="77777777" w:rsidR="00BB39DF" w:rsidRPr="00BB39DF" w:rsidRDefault="00BB39DF" w:rsidP="00BB39DF">
              <w:r w:rsidRPr="00BB39DF">
                <w:t>Digital Responder. (2020, May). Managing Spend for digital Forensic and Incident Response Services. Retrieved from https://safe.menlosecurity.com/doc/docview/viewer/docN5045123DC2D1f0ade524d642b1805b4b473831e43939b10d35b035943c22e0ddc4aeb7c71f04</w:t>
              </w:r>
            </w:p>
            <w:p w14:paraId="35BB3D10" w14:textId="77777777" w:rsidR="00BB39DF" w:rsidRPr="00BB39DF" w:rsidRDefault="00BB39DF" w:rsidP="00BB39DF">
              <w:r w:rsidRPr="00BB39DF">
                <w:t xml:space="preserve">DISA. (2018). Cloud Computing Security Requirements Guide (CC SRG). </w:t>
              </w:r>
            </w:p>
            <w:p w14:paraId="6B227071" w14:textId="73E0F242" w:rsidR="00BB39DF" w:rsidRPr="00BB39DF" w:rsidRDefault="00BB39DF" w:rsidP="00BB39DF">
              <w:r w:rsidRPr="00BB39DF">
                <w:t>IBM. (n.d.). What is Digital Forensics and Incident Response (DFIR). Retrieved from https://www.ibm.com/think/topics/dfir</w:t>
              </w:r>
            </w:p>
            <w:p w14:paraId="234092E4" w14:textId="77777777" w:rsidR="00BB39DF" w:rsidRPr="00BB39DF" w:rsidRDefault="00BB39DF" w:rsidP="00BB39DF">
              <w:r w:rsidRPr="00BB39DF">
                <w:t>Kerner, S. (2023, November 3). SolarWinds hack explained: Everything you need to know. Retrieved from https://www.techtarget.com/whatis/feature/SolarWinds-hack-explained-Everything-you-need-to-know</w:t>
              </w:r>
            </w:p>
            <w:p w14:paraId="7F5007C5" w14:textId="77777777" w:rsidR="00BB39DF" w:rsidRPr="00BB39DF" w:rsidRDefault="00BB39DF" w:rsidP="00BB39DF">
              <w:r w:rsidRPr="00BB39DF">
                <w:t>MITRE ATT&amp;CK Framework. (n.d.). Retrieved from MITRE: https://attack.mitre.org/</w:t>
              </w:r>
            </w:p>
            <w:p w14:paraId="3C4713B1" w14:textId="77777777" w:rsidR="00BB39DF" w:rsidRPr="00BB39DF" w:rsidRDefault="00BB39DF" w:rsidP="00BB39DF">
              <w:r w:rsidRPr="00BB39DF">
                <w:t xml:space="preserve">NIST. (n.d.). NIST SP 800-71 Protecting Controlled Unclassified Information (CUI). </w:t>
              </w:r>
            </w:p>
            <w:p w14:paraId="0DCB4259" w14:textId="77777777" w:rsidR="00BB39DF" w:rsidRPr="00BB39DF" w:rsidRDefault="00BB39DF" w:rsidP="00BB39DF">
              <w:r w:rsidRPr="00BB39DF">
                <w:t>SANS. (2024, July 25). The Ultimate Guide to Getting Started in DFIR. Retrieved from https://www.sans.org/white-papers/ultimate-guide-getting-started-digital-forensics-incident-response/</w:t>
              </w:r>
            </w:p>
            <w:p w14:paraId="49BD0A07" w14:textId="77777777" w:rsidR="00BB39DF" w:rsidRPr="00BB39DF" w:rsidRDefault="00BB39DF" w:rsidP="00BB39DF">
              <w:r w:rsidRPr="00BB39DF">
                <w:t>The New York Times. (2011). Stolen Data is Tracked to Hacking at Lockheed. 2.</w:t>
              </w:r>
            </w:p>
            <w:p w14:paraId="74368322" w14:textId="77777777" w:rsidR="00BB39DF" w:rsidRPr="00BB39DF" w:rsidRDefault="00BB39DF" w:rsidP="00BB39DF">
              <w:r w:rsidRPr="00BB39DF">
                <w:t xml:space="preserve">The New York Times. (2018). Boeing Hit by 'WannaCry' Malware Attack. </w:t>
              </w:r>
            </w:p>
            <w:p w14:paraId="6A51B253" w14:textId="77777777" w:rsidR="00BB39DF" w:rsidRPr="00BB39DF" w:rsidRDefault="00BB39DF" w:rsidP="00BB39DF">
              <w:r w:rsidRPr="00BB39DF">
                <w:t xml:space="preserve">U.S. Government. (2013). Federal Information Security Amendments Act. </w:t>
              </w:r>
            </w:p>
            <w:p w14:paraId="725D781B" w14:textId="0EFE30E1" w:rsidR="00BB39DF" w:rsidRDefault="00BB39DF" w:rsidP="00BB39DF">
              <w:r w:rsidRPr="00BB39DF">
                <w:fldChar w:fldCharType="end"/>
              </w:r>
            </w:p>
          </w:sdtContent>
        </w:sdt>
      </w:sdtContent>
    </w:sdt>
    <w:p w14:paraId="6D022995" w14:textId="2BFF9963" w:rsidR="00BB39DF" w:rsidRDefault="00BB39DF" w:rsidP="00BB39DF"/>
    <w:p w14:paraId="165D8BAA" w14:textId="2C3A53DE" w:rsidR="005B4191" w:rsidRPr="005B4191" w:rsidRDefault="005B4191" w:rsidP="005B4191">
      <w:pPr>
        <w:spacing w:line="480" w:lineRule="auto"/>
        <w:rPr>
          <w:rFonts w:ascii="Calibri" w:hAnsi="Calibri" w:cs="Calibri"/>
          <w:b/>
          <w:bCs/>
          <w:sz w:val="22"/>
          <w:szCs w:val="22"/>
        </w:rPr>
      </w:pPr>
    </w:p>
    <w:sectPr w:rsidR="005B4191" w:rsidRPr="005B41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D72F4" w14:textId="77777777" w:rsidR="00B55BEB" w:rsidRDefault="00B55BEB" w:rsidP="00BC00CD">
      <w:pPr>
        <w:spacing w:after="0" w:line="240" w:lineRule="auto"/>
      </w:pPr>
      <w:r>
        <w:separator/>
      </w:r>
    </w:p>
  </w:endnote>
  <w:endnote w:type="continuationSeparator" w:id="0">
    <w:p w14:paraId="43D2A2BB" w14:textId="77777777" w:rsidR="00B55BEB" w:rsidRDefault="00B55BEB" w:rsidP="00BC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CE383" w14:textId="77777777" w:rsidR="00B55BEB" w:rsidRDefault="00B55BEB" w:rsidP="00BC00CD">
      <w:pPr>
        <w:spacing w:after="0" w:line="240" w:lineRule="auto"/>
      </w:pPr>
      <w:r>
        <w:separator/>
      </w:r>
    </w:p>
  </w:footnote>
  <w:footnote w:type="continuationSeparator" w:id="0">
    <w:p w14:paraId="67C9821F" w14:textId="77777777" w:rsidR="00B55BEB" w:rsidRDefault="00B55BEB" w:rsidP="00BC0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545155"/>
      <w:docPartObj>
        <w:docPartGallery w:val="Page Numbers (Top of Page)"/>
        <w:docPartUnique/>
      </w:docPartObj>
    </w:sdtPr>
    <w:sdtEndPr>
      <w:rPr>
        <w:noProof/>
      </w:rPr>
    </w:sdtEndPr>
    <w:sdtContent>
      <w:p w14:paraId="7455350F" w14:textId="52F02B71" w:rsidR="006417F6" w:rsidRDefault="006417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E3DF91" w14:textId="77777777" w:rsidR="00BC00CD" w:rsidRDefault="00BC0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D52"/>
    <w:multiLevelType w:val="multilevel"/>
    <w:tmpl w:val="697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7D9"/>
    <w:multiLevelType w:val="multilevel"/>
    <w:tmpl w:val="FEC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C34"/>
    <w:multiLevelType w:val="multilevel"/>
    <w:tmpl w:val="C504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07BB"/>
    <w:multiLevelType w:val="multilevel"/>
    <w:tmpl w:val="5FD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51B2"/>
    <w:multiLevelType w:val="multilevel"/>
    <w:tmpl w:val="B042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D3D4B"/>
    <w:multiLevelType w:val="multilevel"/>
    <w:tmpl w:val="327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830D6"/>
    <w:multiLevelType w:val="hybridMultilevel"/>
    <w:tmpl w:val="63C27D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C763F8"/>
    <w:multiLevelType w:val="multilevel"/>
    <w:tmpl w:val="B44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05D49"/>
    <w:multiLevelType w:val="multilevel"/>
    <w:tmpl w:val="0BC8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B237C"/>
    <w:multiLevelType w:val="multilevel"/>
    <w:tmpl w:val="FA64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B1056"/>
    <w:multiLevelType w:val="multilevel"/>
    <w:tmpl w:val="DB8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079D5"/>
    <w:multiLevelType w:val="multilevel"/>
    <w:tmpl w:val="722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4212C"/>
    <w:multiLevelType w:val="hybridMultilevel"/>
    <w:tmpl w:val="BBE6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8336D"/>
    <w:multiLevelType w:val="hybridMultilevel"/>
    <w:tmpl w:val="11AE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D27BE"/>
    <w:multiLevelType w:val="multilevel"/>
    <w:tmpl w:val="9E84A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35F6B"/>
    <w:multiLevelType w:val="hybridMultilevel"/>
    <w:tmpl w:val="B19A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A4175"/>
    <w:multiLevelType w:val="multilevel"/>
    <w:tmpl w:val="CC0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D1C39"/>
    <w:multiLevelType w:val="multilevel"/>
    <w:tmpl w:val="C03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C2F46"/>
    <w:multiLevelType w:val="multilevel"/>
    <w:tmpl w:val="971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36E77"/>
    <w:multiLevelType w:val="multilevel"/>
    <w:tmpl w:val="3BD6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C62ED9"/>
    <w:multiLevelType w:val="multilevel"/>
    <w:tmpl w:val="D1B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E352D"/>
    <w:multiLevelType w:val="multilevel"/>
    <w:tmpl w:val="894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9524F"/>
    <w:multiLevelType w:val="multilevel"/>
    <w:tmpl w:val="C3A63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F67E43"/>
    <w:multiLevelType w:val="hybridMultilevel"/>
    <w:tmpl w:val="4A36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70044"/>
    <w:multiLevelType w:val="hybridMultilevel"/>
    <w:tmpl w:val="99D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982A4B"/>
    <w:multiLevelType w:val="hybridMultilevel"/>
    <w:tmpl w:val="5280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63C84"/>
    <w:multiLevelType w:val="multilevel"/>
    <w:tmpl w:val="AD4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5395D"/>
    <w:multiLevelType w:val="hybridMultilevel"/>
    <w:tmpl w:val="D56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764F6"/>
    <w:multiLevelType w:val="multilevel"/>
    <w:tmpl w:val="DB3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334F4"/>
    <w:multiLevelType w:val="multilevel"/>
    <w:tmpl w:val="7BE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C05C5"/>
    <w:multiLevelType w:val="hybridMultilevel"/>
    <w:tmpl w:val="11DE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0C345A"/>
    <w:multiLevelType w:val="multilevel"/>
    <w:tmpl w:val="318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712E8"/>
    <w:multiLevelType w:val="multilevel"/>
    <w:tmpl w:val="F92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444A5"/>
    <w:multiLevelType w:val="multilevel"/>
    <w:tmpl w:val="62C4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66663"/>
    <w:multiLevelType w:val="multilevel"/>
    <w:tmpl w:val="6EE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26306"/>
    <w:multiLevelType w:val="multilevel"/>
    <w:tmpl w:val="33E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613BF"/>
    <w:multiLevelType w:val="hybridMultilevel"/>
    <w:tmpl w:val="9B1A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CE73A0"/>
    <w:multiLevelType w:val="hybridMultilevel"/>
    <w:tmpl w:val="2A3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86253B"/>
    <w:multiLevelType w:val="multilevel"/>
    <w:tmpl w:val="221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25019A"/>
    <w:multiLevelType w:val="hybridMultilevel"/>
    <w:tmpl w:val="62E4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72E5F"/>
    <w:multiLevelType w:val="multilevel"/>
    <w:tmpl w:val="3BE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67E14"/>
    <w:multiLevelType w:val="hybridMultilevel"/>
    <w:tmpl w:val="50E4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1B4D07"/>
    <w:multiLevelType w:val="multilevel"/>
    <w:tmpl w:val="B29EF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15905"/>
    <w:multiLevelType w:val="multilevel"/>
    <w:tmpl w:val="C66A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5C3AAA"/>
    <w:multiLevelType w:val="multilevel"/>
    <w:tmpl w:val="BD2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445F3"/>
    <w:multiLevelType w:val="multilevel"/>
    <w:tmpl w:val="683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4B5DAD"/>
    <w:multiLevelType w:val="hybridMultilevel"/>
    <w:tmpl w:val="FD7E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577964"/>
    <w:multiLevelType w:val="hybridMultilevel"/>
    <w:tmpl w:val="7EB2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795D5E"/>
    <w:multiLevelType w:val="hybridMultilevel"/>
    <w:tmpl w:val="6366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F102D1"/>
    <w:multiLevelType w:val="multilevel"/>
    <w:tmpl w:val="60C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5F67DD"/>
    <w:multiLevelType w:val="hybridMultilevel"/>
    <w:tmpl w:val="B05C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431D05"/>
    <w:multiLevelType w:val="hybridMultilevel"/>
    <w:tmpl w:val="066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C910EF"/>
    <w:multiLevelType w:val="hybridMultilevel"/>
    <w:tmpl w:val="6A66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0B72AD"/>
    <w:multiLevelType w:val="hybridMultilevel"/>
    <w:tmpl w:val="2A1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5360A3"/>
    <w:multiLevelType w:val="multilevel"/>
    <w:tmpl w:val="265E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545815">
    <w:abstractNumId w:val="7"/>
  </w:num>
  <w:num w:numId="2" w16cid:durableId="390152021">
    <w:abstractNumId w:val="45"/>
  </w:num>
  <w:num w:numId="3" w16cid:durableId="617220626">
    <w:abstractNumId w:val="34"/>
  </w:num>
  <w:num w:numId="4" w16cid:durableId="504174013">
    <w:abstractNumId w:val="0"/>
  </w:num>
  <w:num w:numId="5" w16cid:durableId="766077973">
    <w:abstractNumId w:val="16"/>
  </w:num>
  <w:num w:numId="6" w16cid:durableId="1233393268">
    <w:abstractNumId w:val="21"/>
  </w:num>
  <w:num w:numId="7" w16cid:durableId="14115597">
    <w:abstractNumId w:val="8"/>
  </w:num>
  <w:num w:numId="8" w16cid:durableId="342170992">
    <w:abstractNumId w:val="32"/>
  </w:num>
  <w:num w:numId="9" w16cid:durableId="1038241641">
    <w:abstractNumId w:val="19"/>
  </w:num>
  <w:num w:numId="10" w16cid:durableId="1275097515">
    <w:abstractNumId w:val="20"/>
  </w:num>
  <w:num w:numId="11" w16cid:durableId="1877693633">
    <w:abstractNumId w:val="4"/>
  </w:num>
  <w:num w:numId="12" w16cid:durableId="1640263265">
    <w:abstractNumId w:val="18"/>
  </w:num>
  <w:num w:numId="13" w16cid:durableId="1019624918">
    <w:abstractNumId w:val="33"/>
  </w:num>
  <w:num w:numId="14" w16cid:durableId="402529437">
    <w:abstractNumId w:val="9"/>
  </w:num>
  <w:num w:numId="15" w16cid:durableId="1129396455">
    <w:abstractNumId w:val="31"/>
  </w:num>
  <w:num w:numId="16" w16cid:durableId="521631503">
    <w:abstractNumId w:val="14"/>
  </w:num>
  <w:num w:numId="17" w16cid:durableId="2071030352">
    <w:abstractNumId w:val="27"/>
  </w:num>
  <w:num w:numId="18" w16cid:durableId="491027888">
    <w:abstractNumId w:val="22"/>
  </w:num>
  <w:num w:numId="19" w16cid:durableId="977809028">
    <w:abstractNumId w:val="52"/>
  </w:num>
  <w:num w:numId="20" w16cid:durableId="357514728">
    <w:abstractNumId w:val="42"/>
  </w:num>
  <w:num w:numId="21" w16cid:durableId="823472516">
    <w:abstractNumId w:val="2"/>
  </w:num>
  <w:num w:numId="22" w16cid:durableId="257568006">
    <w:abstractNumId w:val="46"/>
  </w:num>
  <w:num w:numId="23" w16cid:durableId="1210145985">
    <w:abstractNumId w:val="38"/>
  </w:num>
  <w:num w:numId="24" w16cid:durableId="503595370">
    <w:abstractNumId w:val="11"/>
  </w:num>
  <w:num w:numId="25" w16cid:durableId="566183366">
    <w:abstractNumId w:val="28"/>
  </w:num>
  <w:num w:numId="26" w16cid:durableId="759182959">
    <w:abstractNumId w:val="54"/>
  </w:num>
  <w:num w:numId="27" w16cid:durableId="1996835416">
    <w:abstractNumId w:val="3"/>
  </w:num>
  <w:num w:numId="28" w16cid:durableId="370959714">
    <w:abstractNumId w:val="26"/>
  </w:num>
  <w:num w:numId="29" w16cid:durableId="144900508">
    <w:abstractNumId w:val="48"/>
  </w:num>
  <w:num w:numId="30" w16cid:durableId="998194091">
    <w:abstractNumId w:val="49"/>
  </w:num>
  <w:num w:numId="31" w16cid:durableId="1867718372">
    <w:abstractNumId w:val="1"/>
  </w:num>
  <w:num w:numId="32" w16cid:durableId="2069069375">
    <w:abstractNumId w:val="53"/>
  </w:num>
  <w:num w:numId="33" w16cid:durableId="783842978">
    <w:abstractNumId w:val="37"/>
  </w:num>
  <w:num w:numId="34" w16cid:durableId="90248077">
    <w:abstractNumId w:val="35"/>
  </w:num>
  <w:num w:numId="35" w16cid:durableId="1526557884">
    <w:abstractNumId w:val="25"/>
  </w:num>
  <w:num w:numId="36" w16cid:durableId="962465758">
    <w:abstractNumId w:val="43"/>
  </w:num>
  <w:num w:numId="37" w16cid:durableId="1253314980">
    <w:abstractNumId w:val="50"/>
  </w:num>
  <w:num w:numId="38" w16cid:durableId="1708144548">
    <w:abstractNumId w:val="40"/>
  </w:num>
  <w:num w:numId="39" w16cid:durableId="579484855">
    <w:abstractNumId w:val="29"/>
  </w:num>
  <w:num w:numId="40" w16cid:durableId="158231272">
    <w:abstractNumId w:val="44"/>
  </w:num>
  <w:num w:numId="41" w16cid:durableId="1778989897">
    <w:abstractNumId w:val="17"/>
  </w:num>
  <w:num w:numId="42" w16cid:durableId="468786711">
    <w:abstractNumId w:val="10"/>
  </w:num>
  <w:num w:numId="43" w16cid:durableId="296298118">
    <w:abstractNumId w:val="5"/>
  </w:num>
  <w:num w:numId="44" w16cid:durableId="1871988746">
    <w:abstractNumId w:val="39"/>
  </w:num>
  <w:num w:numId="45" w16cid:durableId="1770926448">
    <w:abstractNumId w:val="36"/>
  </w:num>
  <w:num w:numId="46" w16cid:durableId="1590580121">
    <w:abstractNumId w:val="41"/>
  </w:num>
  <w:num w:numId="47" w16cid:durableId="299845789">
    <w:abstractNumId w:val="47"/>
  </w:num>
  <w:num w:numId="48" w16cid:durableId="2051686007">
    <w:abstractNumId w:val="12"/>
  </w:num>
  <w:num w:numId="49" w16cid:durableId="939334241">
    <w:abstractNumId w:val="15"/>
  </w:num>
  <w:num w:numId="50" w16cid:durableId="1823421449">
    <w:abstractNumId w:val="51"/>
  </w:num>
  <w:num w:numId="51" w16cid:durableId="218715816">
    <w:abstractNumId w:val="24"/>
  </w:num>
  <w:num w:numId="52" w16cid:durableId="993146536">
    <w:abstractNumId w:val="6"/>
  </w:num>
  <w:num w:numId="53" w16cid:durableId="427119909">
    <w:abstractNumId w:val="23"/>
  </w:num>
  <w:num w:numId="54" w16cid:durableId="581065958">
    <w:abstractNumId w:val="13"/>
  </w:num>
  <w:num w:numId="55" w16cid:durableId="11428899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33"/>
    <w:rsid w:val="0004049B"/>
    <w:rsid w:val="0008452A"/>
    <w:rsid w:val="000B0456"/>
    <w:rsid w:val="000C056A"/>
    <w:rsid w:val="000C1630"/>
    <w:rsid w:val="000C19B4"/>
    <w:rsid w:val="000D7D87"/>
    <w:rsid w:val="00115ECF"/>
    <w:rsid w:val="001306CD"/>
    <w:rsid w:val="00174036"/>
    <w:rsid w:val="001931DE"/>
    <w:rsid w:val="001A0EEE"/>
    <w:rsid w:val="001A49CB"/>
    <w:rsid w:val="001B2E6C"/>
    <w:rsid w:val="001D13C5"/>
    <w:rsid w:val="002055F7"/>
    <w:rsid w:val="00211DA1"/>
    <w:rsid w:val="00237EB1"/>
    <w:rsid w:val="00240C76"/>
    <w:rsid w:val="00240E04"/>
    <w:rsid w:val="00243AED"/>
    <w:rsid w:val="00261581"/>
    <w:rsid w:val="0026198D"/>
    <w:rsid w:val="00263EA7"/>
    <w:rsid w:val="00275D04"/>
    <w:rsid w:val="00315CBE"/>
    <w:rsid w:val="0032496F"/>
    <w:rsid w:val="00341364"/>
    <w:rsid w:val="0035051A"/>
    <w:rsid w:val="00362393"/>
    <w:rsid w:val="00372A3A"/>
    <w:rsid w:val="00373F21"/>
    <w:rsid w:val="003B2688"/>
    <w:rsid w:val="003B30CC"/>
    <w:rsid w:val="003B6BC0"/>
    <w:rsid w:val="003C7799"/>
    <w:rsid w:val="00417BA9"/>
    <w:rsid w:val="004237F9"/>
    <w:rsid w:val="00450405"/>
    <w:rsid w:val="00456128"/>
    <w:rsid w:val="004756AA"/>
    <w:rsid w:val="004A0A2A"/>
    <w:rsid w:val="004C5CE9"/>
    <w:rsid w:val="004F7FC2"/>
    <w:rsid w:val="00526BB0"/>
    <w:rsid w:val="0053454E"/>
    <w:rsid w:val="005401FD"/>
    <w:rsid w:val="00551148"/>
    <w:rsid w:val="00551395"/>
    <w:rsid w:val="005A3991"/>
    <w:rsid w:val="005B4191"/>
    <w:rsid w:val="005E2B07"/>
    <w:rsid w:val="005E4AEE"/>
    <w:rsid w:val="005F06F6"/>
    <w:rsid w:val="0063721B"/>
    <w:rsid w:val="006417F6"/>
    <w:rsid w:val="00674DB5"/>
    <w:rsid w:val="00691C15"/>
    <w:rsid w:val="006A2214"/>
    <w:rsid w:val="006D0BBF"/>
    <w:rsid w:val="006E50D9"/>
    <w:rsid w:val="006E71E5"/>
    <w:rsid w:val="0072061F"/>
    <w:rsid w:val="00776B97"/>
    <w:rsid w:val="007E6F22"/>
    <w:rsid w:val="007F69F0"/>
    <w:rsid w:val="00810E04"/>
    <w:rsid w:val="008204C4"/>
    <w:rsid w:val="008732A1"/>
    <w:rsid w:val="00894EBD"/>
    <w:rsid w:val="00896945"/>
    <w:rsid w:val="008A3F22"/>
    <w:rsid w:val="008C2640"/>
    <w:rsid w:val="008D0E2B"/>
    <w:rsid w:val="008D709B"/>
    <w:rsid w:val="008F551D"/>
    <w:rsid w:val="0093192C"/>
    <w:rsid w:val="009566FF"/>
    <w:rsid w:val="00960681"/>
    <w:rsid w:val="009608A3"/>
    <w:rsid w:val="00971369"/>
    <w:rsid w:val="009C7A69"/>
    <w:rsid w:val="009F02D2"/>
    <w:rsid w:val="009F2CE5"/>
    <w:rsid w:val="00A10894"/>
    <w:rsid w:val="00A319CB"/>
    <w:rsid w:val="00A36265"/>
    <w:rsid w:val="00A532DA"/>
    <w:rsid w:val="00A57C8C"/>
    <w:rsid w:val="00A8737E"/>
    <w:rsid w:val="00AD649B"/>
    <w:rsid w:val="00AE64B6"/>
    <w:rsid w:val="00AF05E1"/>
    <w:rsid w:val="00B14C02"/>
    <w:rsid w:val="00B3670A"/>
    <w:rsid w:val="00B55BEB"/>
    <w:rsid w:val="00BB1DAD"/>
    <w:rsid w:val="00BB39DF"/>
    <w:rsid w:val="00BC00CD"/>
    <w:rsid w:val="00C671B6"/>
    <w:rsid w:val="00C86AD7"/>
    <w:rsid w:val="00CB484E"/>
    <w:rsid w:val="00CD416D"/>
    <w:rsid w:val="00CF5787"/>
    <w:rsid w:val="00D00794"/>
    <w:rsid w:val="00D2197E"/>
    <w:rsid w:val="00D24B31"/>
    <w:rsid w:val="00D252BF"/>
    <w:rsid w:val="00D3148C"/>
    <w:rsid w:val="00D31F47"/>
    <w:rsid w:val="00D32CA9"/>
    <w:rsid w:val="00D42C86"/>
    <w:rsid w:val="00D44099"/>
    <w:rsid w:val="00D6015C"/>
    <w:rsid w:val="00D62410"/>
    <w:rsid w:val="00D657C1"/>
    <w:rsid w:val="00D876B5"/>
    <w:rsid w:val="00DA7998"/>
    <w:rsid w:val="00DC4408"/>
    <w:rsid w:val="00DE5D54"/>
    <w:rsid w:val="00E118C5"/>
    <w:rsid w:val="00E13C4A"/>
    <w:rsid w:val="00E16405"/>
    <w:rsid w:val="00E45238"/>
    <w:rsid w:val="00E61EBB"/>
    <w:rsid w:val="00E66A33"/>
    <w:rsid w:val="00E92A05"/>
    <w:rsid w:val="00E92EAF"/>
    <w:rsid w:val="00EC28F4"/>
    <w:rsid w:val="00EC3AE8"/>
    <w:rsid w:val="00EE4827"/>
    <w:rsid w:val="00F40516"/>
    <w:rsid w:val="00F76B8C"/>
    <w:rsid w:val="00F82284"/>
    <w:rsid w:val="00FB5B5D"/>
    <w:rsid w:val="00FC4A87"/>
    <w:rsid w:val="00FD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D59B"/>
  <w15:chartTrackingRefBased/>
  <w15:docId w15:val="{501F1473-CD8C-417B-A17A-99765EC0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33"/>
  </w:style>
  <w:style w:type="paragraph" w:styleId="Heading1">
    <w:name w:val="heading 1"/>
    <w:basedOn w:val="Normal"/>
    <w:next w:val="Normal"/>
    <w:link w:val="Heading1Char"/>
    <w:uiPriority w:val="9"/>
    <w:qFormat/>
    <w:rsid w:val="00E66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6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6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6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6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A33"/>
    <w:rPr>
      <w:rFonts w:eastAsiaTheme="majorEastAsia" w:cstheme="majorBidi"/>
      <w:color w:val="272727" w:themeColor="text1" w:themeTint="D8"/>
    </w:rPr>
  </w:style>
  <w:style w:type="paragraph" w:styleId="Title">
    <w:name w:val="Title"/>
    <w:basedOn w:val="Normal"/>
    <w:next w:val="Normal"/>
    <w:link w:val="TitleChar"/>
    <w:uiPriority w:val="10"/>
    <w:qFormat/>
    <w:rsid w:val="00E6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A33"/>
    <w:pPr>
      <w:spacing w:before="160"/>
      <w:jc w:val="center"/>
    </w:pPr>
    <w:rPr>
      <w:i/>
      <w:iCs/>
      <w:color w:val="404040" w:themeColor="text1" w:themeTint="BF"/>
    </w:rPr>
  </w:style>
  <w:style w:type="character" w:customStyle="1" w:styleId="QuoteChar">
    <w:name w:val="Quote Char"/>
    <w:basedOn w:val="DefaultParagraphFont"/>
    <w:link w:val="Quote"/>
    <w:uiPriority w:val="29"/>
    <w:rsid w:val="00E66A33"/>
    <w:rPr>
      <w:i/>
      <w:iCs/>
      <w:color w:val="404040" w:themeColor="text1" w:themeTint="BF"/>
    </w:rPr>
  </w:style>
  <w:style w:type="paragraph" w:styleId="ListParagraph">
    <w:name w:val="List Paragraph"/>
    <w:basedOn w:val="Normal"/>
    <w:uiPriority w:val="34"/>
    <w:qFormat/>
    <w:rsid w:val="00E66A33"/>
    <w:pPr>
      <w:ind w:left="720"/>
      <w:contextualSpacing/>
    </w:pPr>
  </w:style>
  <w:style w:type="character" w:styleId="IntenseEmphasis">
    <w:name w:val="Intense Emphasis"/>
    <w:basedOn w:val="DefaultParagraphFont"/>
    <w:uiPriority w:val="21"/>
    <w:qFormat/>
    <w:rsid w:val="00E66A33"/>
    <w:rPr>
      <w:i/>
      <w:iCs/>
      <w:color w:val="0F4761" w:themeColor="accent1" w:themeShade="BF"/>
    </w:rPr>
  </w:style>
  <w:style w:type="paragraph" w:styleId="IntenseQuote">
    <w:name w:val="Intense Quote"/>
    <w:basedOn w:val="Normal"/>
    <w:next w:val="Normal"/>
    <w:link w:val="IntenseQuoteChar"/>
    <w:uiPriority w:val="30"/>
    <w:qFormat/>
    <w:rsid w:val="00E66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A33"/>
    <w:rPr>
      <w:i/>
      <w:iCs/>
      <w:color w:val="0F4761" w:themeColor="accent1" w:themeShade="BF"/>
    </w:rPr>
  </w:style>
  <w:style w:type="character" w:styleId="IntenseReference">
    <w:name w:val="Intense Reference"/>
    <w:basedOn w:val="DefaultParagraphFont"/>
    <w:uiPriority w:val="32"/>
    <w:qFormat/>
    <w:rsid w:val="00E66A33"/>
    <w:rPr>
      <w:b/>
      <w:bCs/>
      <w:smallCaps/>
      <w:color w:val="0F4761" w:themeColor="accent1" w:themeShade="BF"/>
      <w:spacing w:val="5"/>
    </w:rPr>
  </w:style>
  <w:style w:type="paragraph" w:styleId="NormalWeb">
    <w:name w:val="Normal (Web)"/>
    <w:basedOn w:val="Normal"/>
    <w:uiPriority w:val="99"/>
    <w:semiHidden/>
    <w:unhideWhenUsed/>
    <w:rsid w:val="00F822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2284"/>
    <w:rPr>
      <w:b/>
      <w:bCs/>
    </w:rPr>
  </w:style>
  <w:style w:type="table" w:styleId="TableGrid">
    <w:name w:val="Table Grid"/>
    <w:basedOn w:val="TableNormal"/>
    <w:uiPriority w:val="39"/>
    <w:rsid w:val="0054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CD"/>
  </w:style>
  <w:style w:type="paragraph" w:styleId="Footer">
    <w:name w:val="footer"/>
    <w:basedOn w:val="Normal"/>
    <w:link w:val="FooterChar"/>
    <w:uiPriority w:val="99"/>
    <w:unhideWhenUsed/>
    <w:rsid w:val="00BC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CD"/>
  </w:style>
  <w:style w:type="paragraph" w:styleId="Bibliography">
    <w:name w:val="Bibliography"/>
    <w:basedOn w:val="Normal"/>
    <w:next w:val="Normal"/>
    <w:uiPriority w:val="37"/>
    <w:unhideWhenUsed/>
    <w:rsid w:val="00BB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658">
      <w:bodyDiv w:val="1"/>
      <w:marLeft w:val="0"/>
      <w:marRight w:val="0"/>
      <w:marTop w:val="0"/>
      <w:marBottom w:val="0"/>
      <w:divBdr>
        <w:top w:val="none" w:sz="0" w:space="0" w:color="auto"/>
        <w:left w:val="none" w:sz="0" w:space="0" w:color="auto"/>
        <w:bottom w:val="none" w:sz="0" w:space="0" w:color="auto"/>
        <w:right w:val="none" w:sz="0" w:space="0" w:color="auto"/>
      </w:divBdr>
    </w:div>
    <w:div w:id="66878735">
      <w:bodyDiv w:val="1"/>
      <w:marLeft w:val="0"/>
      <w:marRight w:val="0"/>
      <w:marTop w:val="0"/>
      <w:marBottom w:val="0"/>
      <w:divBdr>
        <w:top w:val="none" w:sz="0" w:space="0" w:color="auto"/>
        <w:left w:val="none" w:sz="0" w:space="0" w:color="auto"/>
        <w:bottom w:val="none" w:sz="0" w:space="0" w:color="auto"/>
        <w:right w:val="none" w:sz="0" w:space="0" w:color="auto"/>
      </w:divBdr>
    </w:div>
    <w:div w:id="123475461">
      <w:bodyDiv w:val="1"/>
      <w:marLeft w:val="0"/>
      <w:marRight w:val="0"/>
      <w:marTop w:val="0"/>
      <w:marBottom w:val="0"/>
      <w:divBdr>
        <w:top w:val="none" w:sz="0" w:space="0" w:color="auto"/>
        <w:left w:val="none" w:sz="0" w:space="0" w:color="auto"/>
        <w:bottom w:val="none" w:sz="0" w:space="0" w:color="auto"/>
        <w:right w:val="none" w:sz="0" w:space="0" w:color="auto"/>
      </w:divBdr>
    </w:div>
    <w:div w:id="161091548">
      <w:bodyDiv w:val="1"/>
      <w:marLeft w:val="0"/>
      <w:marRight w:val="0"/>
      <w:marTop w:val="0"/>
      <w:marBottom w:val="0"/>
      <w:divBdr>
        <w:top w:val="none" w:sz="0" w:space="0" w:color="auto"/>
        <w:left w:val="none" w:sz="0" w:space="0" w:color="auto"/>
        <w:bottom w:val="none" w:sz="0" w:space="0" w:color="auto"/>
        <w:right w:val="none" w:sz="0" w:space="0" w:color="auto"/>
      </w:divBdr>
    </w:div>
    <w:div w:id="164715235">
      <w:bodyDiv w:val="1"/>
      <w:marLeft w:val="0"/>
      <w:marRight w:val="0"/>
      <w:marTop w:val="0"/>
      <w:marBottom w:val="0"/>
      <w:divBdr>
        <w:top w:val="none" w:sz="0" w:space="0" w:color="auto"/>
        <w:left w:val="none" w:sz="0" w:space="0" w:color="auto"/>
        <w:bottom w:val="none" w:sz="0" w:space="0" w:color="auto"/>
        <w:right w:val="none" w:sz="0" w:space="0" w:color="auto"/>
      </w:divBdr>
    </w:div>
    <w:div w:id="191312152">
      <w:bodyDiv w:val="1"/>
      <w:marLeft w:val="0"/>
      <w:marRight w:val="0"/>
      <w:marTop w:val="0"/>
      <w:marBottom w:val="0"/>
      <w:divBdr>
        <w:top w:val="none" w:sz="0" w:space="0" w:color="auto"/>
        <w:left w:val="none" w:sz="0" w:space="0" w:color="auto"/>
        <w:bottom w:val="none" w:sz="0" w:space="0" w:color="auto"/>
        <w:right w:val="none" w:sz="0" w:space="0" w:color="auto"/>
      </w:divBdr>
    </w:div>
    <w:div w:id="234320641">
      <w:bodyDiv w:val="1"/>
      <w:marLeft w:val="0"/>
      <w:marRight w:val="0"/>
      <w:marTop w:val="0"/>
      <w:marBottom w:val="0"/>
      <w:divBdr>
        <w:top w:val="none" w:sz="0" w:space="0" w:color="auto"/>
        <w:left w:val="none" w:sz="0" w:space="0" w:color="auto"/>
        <w:bottom w:val="none" w:sz="0" w:space="0" w:color="auto"/>
        <w:right w:val="none" w:sz="0" w:space="0" w:color="auto"/>
      </w:divBdr>
    </w:div>
    <w:div w:id="243884889">
      <w:bodyDiv w:val="1"/>
      <w:marLeft w:val="0"/>
      <w:marRight w:val="0"/>
      <w:marTop w:val="0"/>
      <w:marBottom w:val="0"/>
      <w:divBdr>
        <w:top w:val="none" w:sz="0" w:space="0" w:color="auto"/>
        <w:left w:val="none" w:sz="0" w:space="0" w:color="auto"/>
        <w:bottom w:val="none" w:sz="0" w:space="0" w:color="auto"/>
        <w:right w:val="none" w:sz="0" w:space="0" w:color="auto"/>
      </w:divBdr>
    </w:div>
    <w:div w:id="246500038">
      <w:bodyDiv w:val="1"/>
      <w:marLeft w:val="0"/>
      <w:marRight w:val="0"/>
      <w:marTop w:val="0"/>
      <w:marBottom w:val="0"/>
      <w:divBdr>
        <w:top w:val="none" w:sz="0" w:space="0" w:color="auto"/>
        <w:left w:val="none" w:sz="0" w:space="0" w:color="auto"/>
        <w:bottom w:val="none" w:sz="0" w:space="0" w:color="auto"/>
        <w:right w:val="none" w:sz="0" w:space="0" w:color="auto"/>
      </w:divBdr>
    </w:div>
    <w:div w:id="404569096">
      <w:bodyDiv w:val="1"/>
      <w:marLeft w:val="0"/>
      <w:marRight w:val="0"/>
      <w:marTop w:val="0"/>
      <w:marBottom w:val="0"/>
      <w:divBdr>
        <w:top w:val="none" w:sz="0" w:space="0" w:color="auto"/>
        <w:left w:val="none" w:sz="0" w:space="0" w:color="auto"/>
        <w:bottom w:val="none" w:sz="0" w:space="0" w:color="auto"/>
        <w:right w:val="none" w:sz="0" w:space="0" w:color="auto"/>
      </w:divBdr>
    </w:div>
    <w:div w:id="442653877">
      <w:bodyDiv w:val="1"/>
      <w:marLeft w:val="0"/>
      <w:marRight w:val="0"/>
      <w:marTop w:val="0"/>
      <w:marBottom w:val="0"/>
      <w:divBdr>
        <w:top w:val="none" w:sz="0" w:space="0" w:color="auto"/>
        <w:left w:val="none" w:sz="0" w:space="0" w:color="auto"/>
        <w:bottom w:val="none" w:sz="0" w:space="0" w:color="auto"/>
        <w:right w:val="none" w:sz="0" w:space="0" w:color="auto"/>
      </w:divBdr>
    </w:div>
    <w:div w:id="456069345">
      <w:bodyDiv w:val="1"/>
      <w:marLeft w:val="0"/>
      <w:marRight w:val="0"/>
      <w:marTop w:val="0"/>
      <w:marBottom w:val="0"/>
      <w:divBdr>
        <w:top w:val="none" w:sz="0" w:space="0" w:color="auto"/>
        <w:left w:val="none" w:sz="0" w:space="0" w:color="auto"/>
        <w:bottom w:val="none" w:sz="0" w:space="0" w:color="auto"/>
        <w:right w:val="none" w:sz="0" w:space="0" w:color="auto"/>
      </w:divBdr>
    </w:div>
    <w:div w:id="533619044">
      <w:bodyDiv w:val="1"/>
      <w:marLeft w:val="0"/>
      <w:marRight w:val="0"/>
      <w:marTop w:val="0"/>
      <w:marBottom w:val="0"/>
      <w:divBdr>
        <w:top w:val="none" w:sz="0" w:space="0" w:color="auto"/>
        <w:left w:val="none" w:sz="0" w:space="0" w:color="auto"/>
        <w:bottom w:val="none" w:sz="0" w:space="0" w:color="auto"/>
        <w:right w:val="none" w:sz="0" w:space="0" w:color="auto"/>
      </w:divBdr>
    </w:div>
    <w:div w:id="601648630">
      <w:bodyDiv w:val="1"/>
      <w:marLeft w:val="0"/>
      <w:marRight w:val="0"/>
      <w:marTop w:val="0"/>
      <w:marBottom w:val="0"/>
      <w:divBdr>
        <w:top w:val="none" w:sz="0" w:space="0" w:color="auto"/>
        <w:left w:val="none" w:sz="0" w:space="0" w:color="auto"/>
        <w:bottom w:val="none" w:sz="0" w:space="0" w:color="auto"/>
        <w:right w:val="none" w:sz="0" w:space="0" w:color="auto"/>
      </w:divBdr>
    </w:div>
    <w:div w:id="621765242">
      <w:bodyDiv w:val="1"/>
      <w:marLeft w:val="0"/>
      <w:marRight w:val="0"/>
      <w:marTop w:val="0"/>
      <w:marBottom w:val="0"/>
      <w:divBdr>
        <w:top w:val="none" w:sz="0" w:space="0" w:color="auto"/>
        <w:left w:val="none" w:sz="0" w:space="0" w:color="auto"/>
        <w:bottom w:val="none" w:sz="0" w:space="0" w:color="auto"/>
        <w:right w:val="none" w:sz="0" w:space="0" w:color="auto"/>
      </w:divBdr>
    </w:div>
    <w:div w:id="662704893">
      <w:bodyDiv w:val="1"/>
      <w:marLeft w:val="0"/>
      <w:marRight w:val="0"/>
      <w:marTop w:val="0"/>
      <w:marBottom w:val="0"/>
      <w:divBdr>
        <w:top w:val="none" w:sz="0" w:space="0" w:color="auto"/>
        <w:left w:val="none" w:sz="0" w:space="0" w:color="auto"/>
        <w:bottom w:val="none" w:sz="0" w:space="0" w:color="auto"/>
        <w:right w:val="none" w:sz="0" w:space="0" w:color="auto"/>
      </w:divBdr>
    </w:div>
    <w:div w:id="757095297">
      <w:bodyDiv w:val="1"/>
      <w:marLeft w:val="0"/>
      <w:marRight w:val="0"/>
      <w:marTop w:val="0"/>
      <w:marBottom w:val="0"/>
      <w:divBdr>
        <w:top w:val="none" w:sz="0" w:space="0" w:color="auto"/>
        <w:left w:val="none" w:sz="0" w:space="0" w:color="auto"/>
        <w:bottom w:val="none" w:sz="0" w:space="0" w:color="auto"/>
        <w:right w:val="none" w:sz="0" w:space="0" w:color="auto"/>
      </w:divBdr>
    </w:div>
    <w:div w:id="761219192">
      <w:bodyDiv w:val="1"/>
      <w:marLeft w:val="0"/>
      <w:marRight w:val="0"/>
      <w:marTop w:val="0"/>
      <w:marBottom w:val="0"/>
      <w:divBdr>
        <w:top w:val="none" w:sz="0" w:space="0" w:color="auto"/>
        <w:left w:val="none" w:sz="0" w:space="0" w:color="auto"/>
        <w:bottom w:val="none" w:sz="0" w:space="0" w:color="auto"/>
        <w:right w:val="none" w:sz="0" w:space="0" w:color="auto"/>
      </w:divBdr>
    </w:div>
    <w:div w:id="774133772">
      <w:bodyDiv w:val="1"/>
      <w:marLeft w:val="0"/>
      <w:marRight w:val="0"/>
      <w:marTop w:val="0"/>
      <w:marBottom w:val="0"/>
      <w:divBdr>
        <w:top w:val="none" w:sz="0" w:space="0" w:color="auto"/>
        <w:left w:val="none" w:sz="0" w:space="0" w:color="auto"/>
        <w:bottom w:val="none" w:sz="0" w:space="0" w:color="auto"/>
        <w:right w:val="none" w:sz="0" w:space="0" w:color="auto"/>
      </w:divBdr>
    </w:div>
    <w:div w:id="784428598">
      <w:bodyDiv w:val="1"/>
      <w:marLeft w:val="0"/>
      <w:marRight w:val="0"/>
      <w:marTop w:val="0"/>
      <w:marBottom w:val="0"/>
      <w:divBdr>
        <w:top w:val="none" w:sz="0" w:space="0" w:color="auto"/>
        <w:left w:val="none" w:sz="0" w:space="0" w:color="auto"/>
        <w:bottom w:val="none" w:sz="0" w:space="0" w:color="auto"/>
        <w:right w:val="none" w:sz="0" w:space="0" w:color="auto"/>
      </w:divBdr>
    </w:div>
    <w:div w:id="817921083">
      <w:bodyDiv w:val="1"/>
      <w:marLeft w:val="0"/>
      <w:marRight w:val="0"/>
      <w:marTop w:val="0"/>
      <w:marBottom w:val="0"/>
      <w:divBdr>
        <w:top w:val="none" w:sz="0" w:space="0" w:color="auto"/>
        <w:left w:val="none" w:sz="0" w:space="0" w:color="auto"/>
        <w:bottom w:val="none" w:sz="0" w:space="0" w:color="auto"/>
        <w:right w:val="none" w:sz="0" w:space="0" w:color="auto"/>
      </w:divBdr>
    </w:div>
    <w:div w:id="843130128">
      <w:bodyDiv w:val="1"/>
      <w:marLeft w:val="0"/>
      <w:marRight w:val="0"/>
      <w:marTop w:val="0"/>
      <w:marBottom w:val="0"/>
      <w:divBdr>
        <w:top w:val="none" w:sz="0" w:space="0" w:color="auto"/>
        <w:left w:val="none" w:sz="0" w:space="0" w:color="auto"/>
        <w:bottom w:val="none" w:sz="0" w:space="0" w:color="auto"/>
        <w:right w:val="none" w:sz="0" w:space="0" w:color="auto"/>
      </w:divBdr>
    </w:div>
    <w:div w:id="861287858">
      <w:bodyDiv w:val="1"/>
      <w:marLeft w:val="0"/>
      <w:marRight w:val="0"/>
      <w:marTop w:val="0"/>
      <w:marBottom w:val="0"/>
      <w:divBdr>
        <w:top w:val="none" w:sz="0" w:space="0" w:color="auto"/>
        <w:left w:val="none" w:sz="0" w:space="0" w:color="auto"/>
        <w:bottom w:val="none" w:sz="0" w:space="0" w:color="auto"/>
        <w:right w:val="none" w:sz="0" w:space="0" w:color="auto"/>
      </w:divBdr>
    </w:div>
    <w:div w:id="1049187724">
      <w:bodyDiv w:val="1"/>
      <w:marLeft w:val="0"/>
      <w:marRight w:val="0"/>
      <w:marTop w:val="0"/>
      <w:marBottom w:val="0"/>
      <w:divBdr>
        <w:top w:val="none" w:sz="0" w:space="0" w:color="auto"/>
        <w:left w:val="none" w:sz="0" w:space="0" w:color="auto"/>
        <w:bottom w:val="none" w:sz="0" w:space="0" w:color="auto"/>
        <w:right w:val="none" w:sz="0" w:space="0" w:color="auto"/>
      </w:divBdr>
    </w:div>
    <w:div w:id="1121457759">
      <w:bodyDiv w:val="1"/>
      <w:marLeft w:val="0"/>
      <w:marRight w:val="0"/>
      <w:marTop w:val="0"/>
      <w:marBottom w:val="0"/>
      <w:divBdr>
        <w:top w:val="none" w:sz="0" w:space="0" w:color="auto"/>
        <w:left w:val="none" w:sz="0" w:space="0" w:color="auto"/>
        <w:bottom w:val="none" w:sz="0" w:space="0" w:color="auto"/>
        <w:right w:val="none" w:sz="0" w:space="0" w:color="auto"/>
      </w:divBdr>
    </w:div>
    <w:div w:id="1153638481">
      <w:bodyDiv w:val="1"/>
      <w:marLeft w:val="0"/>
      <w:marRight w:val="0"/>
      <w:marTop w:val="0"/>
      <w:marBottom w:val="0"/>
      <w:divBdr>
        <w:top w:val="none" w:sz="0" w:space="0" w:color="auto"/>
        <w:left w:val="none" w:sz="0" w:space="0" w:color="auto"/>
        <w:bottom w:val="none" w:sz="0" w:space="0" w:color="auto"/>
        <w:right w:val="none" w:sz="0" w:space="0" w:color="auto"/>
      </w:divBdr>
    </w:div>
    <w:div w:id="1167596611">
      <w:bodyDiv w:val="1"/>
      <w:marLeft w:val="0"/>
      <w:marRight w:val="0"/>
      <w:marTop w:val="0"/>
      <w:marBottom w:val="0"/>
      <w:divBdr>
        <w:top w:val="none" w:sz="0" w:space="0" w:color="auto"/>
        <w:left w:val="none" w:sz="0" w:space="0" w:color="auto"/>
        <w:bottom w:val="none" w:sz="0" w:space="0" w:color="auto"/>
        <w:right w:val="none" w:sz="0" w:space="0" w:color="auto"/>
      </w:divBdr>
    </w:div>
    <w:div w:id="1231692040">
      <w:bodyDiv w:val="1"/>
      <w:marLeft w:val="0"/>
      <w:marRight w:val="0"/>
      <w:marTop w:val="0"/>
      <w:marBottom w:val="0"/>
      <w:divBdr>
        <w:top w:val="none" w:sz="0" w:space="0" w:color="auto"/>
        <w:left w:val="none" w:sz="0" w:space="0" w:color="auto"/>
        <w:bottom w:val="none" w:sz="0" w:space="0" w:color="auto"/>
        <w:right w:val="none" w:sz="0" w:space="0" w:color="auto"/>
      </w:divBdr>
    </w:div>
    <w:div w:id="1237934968">
      <w:bodyDiv w:val="1"/>
      <w:marLeft w:val="0"/>
      <w:marRight w:val="0"/>
      <w:marTop w:val="0"/>
      <w:marBottom w:val="0"/>
      <w:divBdr>
        <w:top w:val="none" w:sz="0" w:space="0" w:color="auto"/>
        <w:left w:val="none" w:sz="0" w:space="0" w:color="auto"/>
        <w:bottom w:val="none" w:sz="0" w:space="0" w:color="auto"/>
        <w:right w:val="none" w:sz="0" w:space="0" w:color="auto"/>
      </w:divBdr>
    </w:div>
    <w:div w:id="1260334942">
      <w:bodyDiv w:val="1"/>
      <w:marLeft w:val="0"/>
      <w:marRight w:val="0"/>
      <w:marTop w:val="0"/>
      <w:marBottom w:val="0"/>
      <w:divBdr>
        <w:top w:val="none" w:sz="0" w:space="0" w:color="auto"/>
        <w:left w:val="none" w:sz="0" w:space="0" w:color="auto"/>
        <w:bottom w:val="none" w:sz="0" w:space="0" w:color="auto"/>
        <w:right w:val="none" w:sz="0" w:space="0" w:color="auto"/>
      </w:divBdr>
    </w:div>
    <w:div w:id="1290013331">
      <w:bodyDiv w:val="1"/>
      <w:marLeft w:val="0"/>
      <w:marRight w:val="0"/>
      <w:marTop w:val="0"/>
      <w:marBottom w:val="0"/>
      <w:divBdr>
        <w:top w:val="none" w:sz="0" w:space="0" w:color="auto"/>
        <w:left w:val="none" w:sz="0" w:space="0" w:color="auto"/>
        <w:bottom w:val="none" w:sz="0" w:space="0" w:color="auto"/>
        <w:right w:val="none" w:sz="0" w:space="0" w:color="auto"/>
      </w:divBdr>
    </w:div>
    <w:div w:id="1305819751">
      <w:bodyDiv w:val="1"/>
      <w:marLeft w:val="0"/>
      <w:marRight w:val="0"/>
      <w:marTop w:val="0"/>
      <w:marBottom w:val="0"/>
      <w:divBdr>
        <w:top w:val="none" w:sz="0" w:space="0" w:color="auto"/>
        <w:left w:val="none" w:sz="0" w:space="0" w:color="auto"/>
        <w:bottom w:val="none" w:sz="0" w:space="0" w:color="auto"/>
        <w:right w:val="none" w:sz="0" w:space="0" w:color="auto"/>
      </w:divBdr>
    </w:div>
    <w:div w:id="1320500855">
      <w:bodyDiv w:val="1"/>
      <w:marLeft w:val="0"/>
      <w:marRight w:val="0"/>
      <w:marTop w:val="0"/>
      <w:marBottom w:val="0"/>
      <w:divBdr>
        <w:top w:val="none" w:sz="0" w:space="0" w:color="auto"/>
        <w:left w:val="none" w:sz="0" w:space="0" w:color="auto"/>
        <w:bottom w:val="none" w:sz="0" w:space="0" w:color="auto"/>
        <w:right w:val="none" w:sz="0" w:space="0" w:color="auto"/>
      </w:divBdr>
    </w:div>
    <w:div w:id="1360745081">
      <w:bodyDiv w:val="1"/>
      <w:marLeft w:val="0"/>
      <w:marRight w:val="0"/>
      <w:marTop w:val="0"/>
      <w:marBottom w:val="0"/>
      <w:divBdr>
        <w:top w:val="none" w:sz="0" w:space="0" w:color="auto"/>
        <w:left w:val="none" w:sz="0" w:space="0" w:color="auto"/>
        <w:bottom w:val="none" w:sz="0" w:space="0" w:color="auto"/>
        <w:right w:val="none" w:sz="0" w:space="0" w:color="auto"/>
      </w:divBdr>
    </w:div>
    <w:div w:id="1373842942">
      <w:bodyDiv w:val="1"/>
      <w:marLeft w:val="0"/>
      <w:marRight w:val="0"/>
      <w:marTop w:val="0"/>
      <w:marBottom w:val="0"/>
      <w:divBdr>
        <w:top w:val="none" w:sz="0" w:space="0" w:color="auto"/>
        <w:left w:val="none" w:sz="0" w:space="0" w:color="auto"/>
        <w:bottom w:val="none" w:sz="0" w:space="0" w:color="auto"/>
        <w:right w:val="none" w:sz="0" w:space="0" w:color="auto"/>
      </w:divBdr>
      <w:divsChild>
        <w:div w:id="1922904783">
          <w:marLeft w:val="0"/>
          <w:marRight w:val="0"/>
          <w:marTop w:val="0"/>
          <w:marBottom w:val="0"/>
          <w:divBdr>
            <w:top w:val="none" w:sz="0" w:space="0" w:color="auto"/>
            <w:left w:val="none" w:sz="0" w:space="0" w:color="auto"/>
            <w:bottom w:val="none" w:sz="0" w:space="0" w:color="auto"/>
            <w:right w:val="none" w:sz="0" w:space="0" w:color="auto"/>
          </w:divBdr>
        </w:div>
        <w:div w:id="903179010">
          <w:marLeft w:val="0"/>
          <w:marRight w:val="0"/>
          <w:marTop w:val="0"/>
          <w:marBottom w:val="0"/>
          <w:divBdr>
            <w:top w:val="none" w:sz="0" w:space="0" w:color="auto"/>
            <w:left w:val="none" w:sz="0" w:space="0" w:color="auto"/>
            <w:bottom w:val="none" w:sz="0" w:space="0" w:color="auto"/>
            <w:right w:val="none" w:sz="0" w:space="0" w:color="auto"/>
          </w:divBdr>
        </w:div>
      </w:divsChild>
    </w:div>
    <w:div w:id="1459251738">
      <w:bodyDiv w:val="1"/>
      <w:marLeft w:val="0"/>
      <w:marRight w:val="0"/>
      <w:marTop w:val="0"/>
      <w:marBottom w:val="0"/>
      <w:divBdr>
        <w:top w:val="none" w:sz="0" w:space="0" w:color="auto"/>
        <w:left w:val="none" w:sz="0" w:space="0" w:color="auto"/>
        <w:bottom w:val="none" w:sz="0" w:space="0" w:color="auto"/>
        <w:right w:val="none" w:sz="0" w:space="0" w:color="auto"/>
      </w:divBdr>
    </w:div>
    <w:div w:id="1484663945">
      <w:bodyDiv w:val="1"/>
      <w:marLeft w:val="0"/>
      <w:marRight w:val="0"/>
      <w:marTop w:val="0"/>
      <w:marBottom w:val="0"/>
      <w:divBdr>
        <w:top w:val="none" w:sz="0" w:space="0" w:color="auto"/>
        <w:left w:val="none" w:sz="0" w:space="0" w:color="auto"/>
        <w:bottom w:val="none" w:sz="0" w:space="0" w:color="auto"/>
        <w:right w:val="none" w:sz="0" w:space="0" w:color="auto"/>
      </w:divBdr>
    </w:div>
    <w:div w:id="1509952034">
      <w:bodyDiv w:val="1"/>
      <w:marLeft w:val="0"/>
      <w:marRight w:val="0"/>
      <w:marTop w:val="0"/>
      <w:marBottom w:val="0"/>
      <w:divBdr>
        <w:top w:val="none" w:sz="0" w:space="0" w:color="auto"/>
        <w:left w:val="none" w:sz="0" w:space="0" w:color="auto"/>
        <w:bottom w:val="none" w:sz="0" w:space="0" w:color="auto"/>
        <w:right w:val="none" w:sz="0" w:space="0" w:color="auto"/>
      </w:divBdr>
    </w:div>
    <w:div w:id="1559516115">
      <w:bodyDiv w:val="1"/>
      <w:marLeft w:val="0"/>
      <w:marRight w:val="0"/>
      <w:marTop w:val="0"/>
      <w:marBottom w:val="0"/>
      <w:divBdr>
        <w:top w:val="none" w:sz="0" w:space="0" w:color="auto"/>
        <w:left w:val="none" w:sz="0" w:space="0" w:color="auto"/>
        <w:bottom w:val="none" w:sz="0" w:space="0" w:color="auto"/>
        <w:right w:val="none" w:sz="0" w:space="0" w:color="auto"/>
      </w:divBdr>
    </w:div>
    <w:div w:id="1615404208">
      <w:bodyDiv w:val="1"/>
      <w:marLeft w:val="0"/>
      <w:marRight w:val="0"/>
      <w:marTop w:val="0"/>
      <w:marBottom w:val="0"/>
      <w:divBdr>
        <w:top w:val="none" w:sz="0" w:space="0" w:color="auto"/>
        <w:left w:val="none" w:sz="0" w:space="0" w:color="auto"/>
        <w:bottom w:val="none" w:sz="0" w:space="0" w:color="auto"/>
        <w:right w:val="none" w:sz="0" w:space="0" w:color="auto"/>
      </w:divBdr>
    </w:div>
    <w:div w:id="1617371235">
      <w:bodyDiv w:val="1"/>
      <w:marLeft w:val="0"/>
      <w:marRight w:val="0"/>
      <w:marTop w:val="0"/>
      <w:marBottom w:val="0"/>
      <w:divBdr>
        <w:top w:val="none" w:sz="0" w:space="0" w:color="auto"/>
        <w:left w:val="none" w:sz="0" w:space="0" w:color="auto"/>
        <w:bottom w:val="none" w:sz="0" w:space="0" w:color="auto"/>
        <w:right w:val="none" w:sz="0" w:space="0" w:color="auto"/>
      </w:divBdr>
    </w:div>
    <w:div w:id="1655840055">
      <w:bodyDiv w:val="1"/>
      <w:marLeft w:val="0"/>
      <w:marRight w:val="0"/>
      <w:marTop w:val="0"/>
      <w:marBottom w:val="0"/>
      <w:divBdr>
        <w:top w:val="none" w:sz="0" w:space="0" w:color="auto"/>
        <w:left w:val="none" w:sz="0" w:space="0" w:color="auto"/>
        <w:bottom w:val="none" w:sz="0" w:space="0" w:color="auto"/>
        <w:right w:val="none" w:sz="0" w:space="0" w:color="auto"/>
      </w:divBdr>
    </w:div>
    <w:div w:id="1663585253">
      <w:bodyDiv w:val="1"/>
      <w:marLeft w:val="0"/>
      <w:marRight w:val="0"/>
      <w:marTop w:val="0"/>
      <w:marBottom w:val="0"/>
      <w:divBdr>
        <w:top w:val="none" w:sz="0" w:space="0" w:color="auto"/>
        <w:left w:val="none" w:sz="0" w:space="0" w:color="auto"/>
        <w:bottom w:val="none" w:sz="0" w:space="0" w:color="auto"/>
        <w:right w:val="none" w:sz="0" w:space="0" w:color="auto"/>
      </w:divBdr>
    </w:div>
    <w:div w:id="1665158208">
      <w:bodyDiv w:val="1"/>
      <w:marLeft w:val="0"/>
      <w:marRight w:val="0"/>
      <w:marTop w:val="0"/>
      <w:marBottom w:val="0"/>
      <w:divBdr>
        <w:top w:val="none" w:sz="0" w:space="0" w:color="auto"/>
        <w:left w:val="none" w:sz="0" w:space="0" w:color="auto"/>
        <w:bottom w:val="none" w:sz="0" w:space="0" w:color="auto"/>
        <w:right w:val="none" w:sz="0" w:space="0" w:color="auto"/>
      </w:divBdr>
    </w:div>
    <w:div w:id="1712147945">
      <w:bodyDiv w:val="1"/>
      <w:marLeft w:val="0"/>
      <w:marRight w:val="0"/>
      <w:marTop w:val="0"/>
      <w:marBottom w:val="0"/>
      <w:divBdr>
        <w:top w:val="none" w:sz="0" w:space="0" w:color="auto"/>
        <w:left w:val="none" w:sz="0" w:space="0" w:color="auto"/>
        <w:bottom w:val="none" w:sz="0" w:space="0" w:color="auto"/>
        <w:right w:val="none" w:sz="0" w:space="0" w:color="auto"/>
      </w:divBdr>
    </w:div>
    <w:div w:id="1720131188">
      <w:bodyDiv w:val="1"/>
      <w:marLeft w:val="0"/>
      <w:marRight w:val="0"/>
      <w:marTop w:val="0"/>
      <w:marBottom w:val="0"/>
      <w:divBdr>
        <w:top w:val="none" w:sz="0" w:space="0" w:color="auto"/>
        <w:left w:val="none" w:sz="0" w:space="0" w:color="auto"/>
        <w:bottom w:val="none" w:sz="0" w:space="0" w:color="auto"/>
        <w:right w:val="none" w:sz="0" w:space="0" w:color="auto"/>
      </w:divBdr>
    </w:div>
    <w:div w:id="1740248261">
      <w:bodyDiv w:val="1"/>
      <w:marLeft w:val="0"/>
      <w:marRight w:val="0"/>
      <w:marTop w:val="0"/>
      <w:marBottom w:val="0"/>
      <w:divBdr>
        <w:top w:val="none" w:sz="0" w:space="0" w:color="auto"/>
        <w:left w:val="none" w:sz="0" w:space="0" w:color="auto"/>
        <w:bottom w:val="none" w:sz="0" w:space="0" w:color="auto"/>
        <w:right w:val="none" w:sz="0" w:space="0" w:color="auto"/>
      </w:divBdr>
    </w:div>
    <w:div w:id="1754086368">
      <w:bodyDiv w:val="1"/>
      <w:marLeft w:val="0"/>
      <w:marRight w:val="0"/>
      <w:marTop w:val="0"/>
      <w:marBottom w:val="0"/>
      <w:divBdr>
        <w:top w:val="none" w:sz="0" w:space="0" w:color="auto"/>
        <w:left w:val="none" w:sz="0" w:space="0" w:color="auto"/>
        <w:bottom w:val="none" w:sz="0" w:space="0" w:color="auto"/>
        <w:right w:val="none" w:sz="0" w:space="0" w:color="auto"/>
      </w:divBdr>
    </w:div>
    <w:div w:id="1807507756">
      <w:bodyDiv w:val="1"/>
      <w:marLeft w:val="0"/>
      <w:marRight w:val="0"/>
      <w:marTop w:val="0"/>
      <w:marBottom w:val="0"/>
      <w:divBdr>
        <w:top w:val="none" w:sz="0" w:space="0" w:color="auto"/>
        <w:left w:val="none" w:sz="0" w:space="0" w:color="auto"/>
        <w:bottom w:val="none" w:sz="0" w:space="0" w:color="auto"/>
        <w:right w:val="none" w:sz="0" w:space="0" w:color="auto"/>
      </w:divBdr>
    </w:div>
    <w:div w:id="1839540176">
      <w:bodyDiv w:val="1"/>
      <w:marLeft w:val="0"/>
      <w:marRight w:val="0"/>
      <w:marTop w:val="0"/>
      <w:marBottom w:val="0"/>
      <w:divBdr>
        <w:top w:val="none" w:sz="0" w:space="0" w:color="auto"/>
        <w:left w:val="none" w:sz="0" w:space="0" w:color="auto"/>
        <w:bottom w:val="none" w:sz="0" w:space="0" w:color="auto"/>
        <w:right w:val="none" w:sz="0" w:space="0" w:color="auto"/>
      </w:divBdr>
    </w:div>
    <w:div w:id="1848473714">
      <w:bodyDiv w:val="1"/>
      <w:marLeft w:val="0"/>
      <w:marRight w:val="0"/>
      <w:marTop w:val="0"/>
      <w:marBottom w:val="0"/>
      <w:divBdr>
        <w:top w:val="none" w:sz="0" w:space="0" w:color="auto"/>
        <w:left w:val="none" w:sz="0" w:space="0" w:color="auto"/>
        <w:bottom w:val="none" w:sz="0" w:space="0" w:color="auto"/>
        <w:right w:val="none" w:sz="0" w:space="0" w:color="auto"/>
      </w:divBdr>
    </w:div>
    <w:div w:id="1978027145">
      <w:bodyDiv w:val="1"/>
      <w:marLeft w:val="0"/>
      <w:marRight w:val="0"/>
      <w:marTop w:val="0"/>
      <w:marBottom w:val="0"/>
      <w:divBdr>
        <w:top w:val="none" w:sz="0" w:space="0" w:color="auto"/>
        <w:left w:val="none" w:sz="0" w:space="0" w:color="auto"/>
        <w:bottom w:val="none" w:sz="0" w:space="0" w:color="auto"/>
        <w:right w:val="none" w:sz="0" w:space="0" w:color="auto"/>
      </w:divBdr>
    </w:div>
    <w:div w:id="1980843071">
      <w:bodyDiv w:val="1"/>
      <w:marLeft w:val="0"/>
      <w:marRight w:val="0"/>
      <w:marTop w:val="0"/>
      <w:marBottom w:val="0"/>
      <w:divBdr>
        <w:top w:val="none" w:sz="0" w:space="0" w:color="auto"/>
        <w:left w:val="none" w:sz="0" w:space="0" w:color="auto"/>
        <w:bottom w:val="none" w:sz="0" w:space="0" w:color="auto"/>
        <w:right w:val="none" w:sz="0" w:space="0" w:color="auto"/>
      </w:divBdr>
    </w:div>
    <w:div w:id="1992252367">
      <w:bodyDiv w:val="1"/>
      <w:marLeft w:val="0"/>
      <w:marRight w:val="0"/>
      <w:marTop w:val="0"/>
      <w:marBottom w:val="0"/>
      <w:divBdr>
        <w:top w:val="none" w:sz="0" w:space="0" w:color="auto"/>
        <w:left w:val="none" w:sz="0" w:space="0" w:color="auto"/>
        <w:bottom w:val="none" w:sz="0" w:space="0" w:color="auto"/>
        <w:right w:val="none" w:sz="0" w:space="0" w:color="auto"/>
      </w:divBdr>
    </w:div>
    <w:div w:id="19995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NIS</b:Tag>
    <b:SourceType>Report</b:SourceType>
    <b:Guid>{F7193E3C-CBEB-4124-A080-44CEBDCFB9D4}</b:Guid>
    <b:Title>NIST SP 800-71 Protecting Controlled Unclassified Information (CUI)</b:Title>
    <b:Author>
      <b:Author>
        <b:Corporate>NIST</b:Corporate>
      </b:Author>
    </b:Author>
    <b:RefOrder>1</b:RefOrder>
  </b:Source>
  <b:Source>
    <b:Tag>DFA</b:Tag>
    <b:SourceType>DocumentFromInternetSite</b:SourceType>
    <b:Guid>{240536CD-C5E3-44FA-9D2A-A00C53B050C7}</b:Guid>
    <b:Author>
      <b:Author>
        <b:Corporate>DFARS</b:Corporate>
      </b:Author>
    </b:Author>
    <b:Title>DFARS Cybersecurity Requirements</b:Title>
    <b:URL>https://www.acq.osd.mil/dpap/dars/dfars/html/current/252204.htm</b:URL>
    <b:RefOrder>2</b:RefOrder>
  </b:Source>
  <b:Source>
    <b:Tag>CIS</b:Tag>
    <b:SourceType>Report</b:SourceType>
    <b:Guid>{F6A55681-69F9-4E2F-AC8F-7CD2FB5B2D67}</b:Guid>
    <b:Author>
      <b:Author>
        <b:Corporate>CISA</b:Corporate>
      </b:Author>
    </b:Author>
    <b:Title>Cybersecurity Maturity Model Cerification (CMMC)</b:Title>
    <b:RefOrder>3</b:RefOrder>
  </b:Source>
  <b:Source>
    <b:Tag>USG13</b:Tag>
    <b:SourceType>Report</b:SourceType>
    <b:Guid>{8EE3D454-5D22-4669-97B1-2A54128DC9D3}</b:Guid>
    <b:Author>
      <b:Author>
        <b:Corporate>U.S. Government</b:Corporate>
      </b:Author>
    </b:Author>
    <b:Title>Federal Information Security Amendments Act</b:Title>
    <b:Year>2013</b:Year>
    <b:RefOrder>4</b:RefOrder>
  </b:Source>
  <b:Source>
    <b:Tag>DIS18</b:Tag>
    <b:SourceType>Report</b:SourceType>
    <b:Guid>{C70B5D9F-EBB9-41D4-B04D-68DB769870CF}</b:Guid>
    <b:Author>
      <b:Author>
        <b:Corporate>DISA</b:Corporate>
      </b:Author>
    </b:Author>
    <b:Title>Cloud Computing Security Requirements Guide (CC SRG)</b:Title>
    <b:Year>2018</b:Year>
    <b:RefOrder>5</b:RefOrder>
  </b:Source>
  <b:Source>
    <b:Tag>Sea23</b:Tag>
    <b:SourceType>InternetSite</b:SourceType>
    <b:Guid>{7EC3B7A4-6608-4FF5-BA3D-104B6A3DA507}</b:Guid>
    <b:Author>
      <b:Author>
        <b:NameList>
          <b:Person>
            <b:Last>Kerner</b:Last>
            <b:First>Sean</b:First>
          </b:Person>
        </b:NameList>
      </b:Author>
    </b:Author>
    <b:Title>SolarWinds hack explained: Everything you need to know</b:Title>
    <b:Year>2023</b:Year>
    <b:Month>November</b:Month>
    <b:Day>3</b:Day>
    <b:URL>https://www.techtarget.com/whatis/feature/SolarWinds-hack-explained-Everything-you-need-to-know</b:URL>
    <b:RefOrder>6</b:RefOrder>
  </b:Source>
  <b:Source>
    <b:Tag>The11</b:Tag>
    <b:SourceType>JournalArticle</b:SourceType>
    <b:Guid>{35B1DE99-D8E2-4E52-B9A2-E77BBFAC620F}</b:Guid>
    <b:Title>Stolen Data is Tracked to Hacking at Lockheed</b:Title>
    <b:Year>2011</b:Year>
    <b:Author>
      <b:Author>
        <b:Corporate>The New York Times</b:Corporate>
      </b:Author>
    </b:Author>
    <b:Pages>2</b:Pages>
    <b:RefOrder>7</b:RefOrder>
  </b:Source>
  <b:Source>
    <b:Tag>The18</b:Tag>
    <b:SourceType>Report</b:SourceType>
    <b:Guid>{E7E063A8-DFFF-43E4-9A53-098F11E5398C}</b:Guid>
    <b:Title>Boeing Hit by 'WannaCry' Malware Attack</b:Title>
    <b:Year>2018</b:Year>
    <b:Author>
      <b:Author>
        <b:Corporate>The New York Times</b:Corporate>
      </b:Author>
    </b:Author>
    <b:RefOrder>8</b:RefOrder>
  </b:Source>
  <b:Source>
    <b:Tag>MIT</b:Tag>
    <b:SourceType>InternetSite</b:SourceType>
    <b:Guid>{8F7A0EFE-5863-48C9-862A-AA08AE893E7D}</b:Guid>
    <b:Author>
      <b:Author>
        <b:Corporate>MITRE ATT&amp;CK Framework</b:Corporate>
      </b:Author>
    </b:Author>
    <b:InternetSiteTitle>MITRE</b:InternetSiteTitle>
    <b:URL>https://attack.mitre.org/</b:URL>
    <b:RefOrder>9</b:RefOrder>
  </b:Source>
  <b:Source>
    <b:Tag>CIS1</b:Tag>
    <b:SourceType>InternetSite</b:SourceType>
    <b:Guid>{C8FEFD1D-399D-46B9-BFD3-479670315CF1}</b:Guid>
    <b:Author>
      <b:Author>
        <b:Corporate>CISA</b:Corporate>
      </b:Author>
    </b:Author>
    <b:Title>CISA Cyber Threat Reports</b:Title>
    <b:URL>www.cisa.gov</b:URL>
    <b:RefOrder>10</b:RefOrder>
  </b:Source>
  <b:Source>
    <b:Tag>IBM</b:Tag>
    <b:SourceType>InternetSite</b:SourceType>
    <b:Guid>{11684219-A1F5-4E04-BE7F-785232BE119F}</b:Guid>
    <b:Author>
      <b:Author>
        <b:Corporate>IBM</b:Corporate>
      </b:Author>
    </b:Author>
    <b:Title>What is Digital Forensics and Inident Response (DFIR)</b:Title>
    <b:URL>https://www.ibm.com/think/topics/dfir</b:URL>
    <b:RefOrder>11</b:RefOrder>
  </b:Source>
  <b:Source>
    <b:Tag>SAN24</b:Tag>
    <b:SourceType>InternetSite</b:SourceType>
    <b:Guid>{DBA20456-9EFA-456E-8457-AFD3209AE63F}</b:Guid>
    <b:Author>
      <b:Author>
        <b:Corporate>SANS</b:Corporate>
      </b:Author>
    </b:Author>
    <b:Title>The Ultimate Guide to Getting Started in DFIR</b:Title>
    <b:Year>2024</b:Year>
    <b:Month>July</b:Month>
    <b:Day>25</b:Day>
    <b:URL>https://www.sans.org/white-papers/ultimate-guide-getting-started-digital-forensics-incident-response/</b:URL>
    <b:RefOrder>12</b:RefOrder>
  </b:Source>
  <b:Source>
    <b:Tag>Dig20</b:Tag>
    <b:SourceType>InternetSite</b:SourceType>
    <b:Guid>{9A9D8322-09FE-4C89-AFF3-1E25DD091DAE}</b:Guid>
    <b:Author>
      <b:Author>
        <b:Corporate>Digital Responder</b:Corporate>
      </b:Author>
    </b:Author>
    <b:Title>Managing Spend for digital Forensic and Incident Response Services</b:Title>
    <b:Year>2020</b:Year>
    <b:Month>May</b:Month>
    <b:URL>https://safe.menlosecurity.com/doc/docview/viewer/docN5045123DC2D1f0ade524d642b1805b4b473831e43939b10d35b035943c22e0ddc4aeb7c71f04</b:URL>
    <b:RefOrder>13</b:RefOrder>
  </b:Source>
</b:Sources>
</file>

<file path=customXml/itemProps1.xml><?xml version="1.0" encoding="utf-8"?>
<ds:datastoreItem xmlns:ds="http://schemas.openxmlformats.org/officeDocument/2006/customXml" ds:itemID="{01025777-31FF-4DF2-8CC2-5B588706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winfield</dc:creator>
  <cp:keywords/>
  <dc:description/>
  <cp:lastModifiedBy>kevin winfield</cp:lastModifiedBy>
  <cp:revision>3</cp:revision>
  <dcterms:created xsi:type="dcterms:W3CDTF">2025-02-12T19:29:00Z</dcterms:created>
  <dcterms:modified xsi:type="dcterms:W3CDTF">2025-02-13T02:49:00Z</dcterms:modified>
</cp:coreProperties>
</file>