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D27B" w14:textId="219B0EC7" w:rsidR="004411FA" w:rsidRPr="00CC055A" w:rsidRDefault="004411FA" w:rsidP="004411FA">
      <w:pPr>
        <w:rPr>
          <w:b/>
          <w:bCs/>
        </w:rPr>
      </w:pPr>
      <w:r w:rsidRPr="00CC055A">
        <w:rPr>
          <w:b/>
          <w:bCs/>
        </w:rPr>
        <w:t xml:space="preserve">Document Title: </w:t>
      </w:r>
      <w:r w:rsidR="009956FA" w:rsidRPr="00CC055A">
        <w:rPr>
          <w:b/>
          <w:bCs/>
        </w:rPr>
        <w:t xml:space="preserve">Omazon </w:t>
      </w:r>
      <w:r w:rsidRPr="00CC055A">
        <w:rPr>
          <w:b/>
          <w:bCs/>
        </w:rPr>
        <w:t xml:space="preserve">Threat Hunting </w:t>
      </w:r>
      <w:r w:rsidR="00FD53F0" w:rsidRPr="00CC055A">
        <w:rPr>
          <w:b/>
          <w:bCs/>
        </w:rPr>
        <w:t>Governance</w:t>
      </w:r>
    </w:p>
    <w:p w14:paraId="1B15736E" w14:textId="69145A19" w:rsidR="004411FA" w:rsidRPr="004411FA" w:rsidRDefault="004411FA" w:rsidP="004411FA">
      <w:pPr>
        <w:rPr>
          <w:b/>
          <w:bCs/>
        </w:rPr>
      </w:pPr>
      <w:r w:rsidRPr="004411FA">
        <w:rPr>
          <w:b/>
          <w:bCs/>
        </w:rPr>
        <w:t xml:space="preserve">Effective Date: June </w:t>
      </w:r>
      <w:r w:rsidR="00786A71" w:rsidRPr="007C33E9">
        <w:rPr>
          <w:b/>
          <w:bCs/>
        </w:rPr>
        <w:t>22</w:t>
      </w:r>
      <w:r w:rsidRPr="004411FA">
        <w:rPr>
          <w:b/>
          <w:bCs/>
        </w:rPr>
        <w:t>, 2024</w:t>
      </w:r>
    </w:p>
    <w:p w14:paraId="20FA0606" w14:textId="3E925623" w:rsidR="004411FA" w:rsidRPr="004411FA" w:rsidRDefault="004411FA" w:rsidP="004411FA">
      <w:r w:rsidRPr="004411FA">
        <w:rPr>
          <w:b/>
          <w:bCs/>
        </w:rPr>
        <w:t>Version:</w:t>
      </w:r>
      <w:r w:rsidRPr="004411FA">
        <w:t xml:space="preserve"> 1</w:t>
      </w:r>
      <w:r w:rsidR="0062218B">
        <w:t>.0</w:t>
      </w:r>
    </w:p>
    <w:p w14:paraId="32C5DD76" w14:textId="29B66EED" w:rsidR="004411FA" w:rsidRPr="004411FA" w:rsidRDefault="004411FA" w:rsidP="004411FA">
      <w:pPr>
        <w:rPr>
          <w:b/>
          <w:bCs/>
        </w:rPr>
      </w:pPr>
      <w:r w:rsidRPr="004411FA">
        <w:rPr>
          <w:b/>
          <w:bCs/>
        </w:rPr>
        <w:t xml:space="preserve">Reviewed by: </w:t>
      </w:r>
      <w:r w:rsidR="00786A71" w:rsidRPr="007C33E9">
        <w:rPr>
          <w:b/>
          <w:bCs/>
        </w:rPr>
        <w:t>Information Security Manger</w:t>
      </w:r>
    </w:p>
    <w:p w14:paraId="6BCDC411" w14:textId="77777777" w:rsidR="004411FA" w:rsidRPr="004411FA" w:rsidRDefault="004411FA" w:rsidP="004411FA">
      <w:pPr>
        <w:rPr>
          <w:b/>
          <w:bCs/>
        </w:rPr>
      </w:pPr>
      <w:r w:rsidRPr="004411FA">
        <w:rPr>
          <w:b/>
          <w:bCs/>
        </w:rPr>
        <w:t>Approved by: Chief Information Security Officer (CISO)</w:t>
      </w:r>
    </w:p>
    <w:p w14:paraId="4FE7B5F6" w14:textId="1D1FB521" w:rsidR="004411FA" w:rsidRPr="004411FA" w:rsidRDefault="00786A71" w:rsidP="004411FA">
      <w:r>
        <w:softHyphen/>
      </w:r>
      <w:r>
        <w:softHyphen/>
      </w:r>
      <w:r>
        <w:softHyphen/>
      </w:r>
      <w:r w:rsidRPr="00786A71">
        <w:rPr>
          <w:b/>
          <w:bCs/>
          <w:sz w:val="20"/>
          <w:szCs w:val="20"/>
        </w:rPr>
        <w:t>_________________________________________________________________________________________</w:t>
      </w:r>
      <w:r>
        <w:rPr>
          <w:b/>
          <w:bCs/>
          <w:sz w:val="20"/>
          <w:szCs w:val="20"/>
        </w:rPr>
        <w:t>____</w:t>
      </w:r>
    </w:p>
    <w:p w14:paraId="073C8CE4" w14:textId="2DE2C8BD" w:rsidR="004411FA" w:rsidRPr="004411FA" w:rsidRDefault="00046B83" w:rsidP="004411FA">
      <w:pPr>
        <w:rPr>
          <w:b/>
          <w:bCs/>
        </w:rPr>
      </w:pPr>
      <w:r>
        <w:t xml:space="preserve">I. </w:t>
      </w:r>
      <w:r w:rsidR="004411FA" w:rsidRPr="004411FA">
        <w:t xml:space="preserve"> </w:t>
      </w:r>
      <w:r w:rsidR="004411FA" w:rsidRPr="004411FA">
        <w:rPr>
          <w:b/>
          <w:bCs/>
        </w:rPr>
        <w:t>Purpose</w:t>
      </w:r>
    </w:p>
    <w:p w14:paraId="3B202159" w14:textId="5BC41313" w:rsidR="00412058" w:rsidRDefault="00412058" w:rsidP="004411FA">
      <w:r w:rsidRPr="00412058">
        <w:t xml:space="preserve">The aim of this document is to establish a methodical and proactive approach for governing our threat-hunting program </w:t>
      </w:r>
      <w:r w:rsidR="008B0A2F" w:rsidRPr="00412058">
        <w:t>to</w:t>
      </w:r>
      <w:r w:rsidRPr="00412058">
        <w:t xml:space="preserve"> detect and mitigate cyber threats within the Omazon I.T. environment. This document is intended to improve our cybersecurity posture by addressing past data breaches</w:t>
      </w:r>
      <w:r w:rsidR="007C0E47">
        <w:t>,</w:t>
      </w:r>
      <w:r w:rsidRPr="00412058">
        <w:t xml:space="preserve"> and identifying potential future threats that could significantly harm our organization.</w:t>
      </w:r>
    </w:p>
    <w:p w14:paraId="4583394F" w14:textId="1E4E40FE" w:rsidR="004411FA" w:rsidRPr="004411FA" w:rsidRDefault="00046B83" w:rsidP="004411FA">
      <w:pPr>
        <w:rPr>
          <w:b/>
          <w:bCs/>
        </w:rPr>
      </w:pPr>
      <w:r>
        <w:rPr>
          <w:b/>
          <w:bCs/>
        </w:rPr>
        <w:t xml:space="preserve">II. </w:t>
      </w:r>
      <w:r w:rsidR="004411FA" w:rsidRPr="004411FA">
        <w:rPr>
          <w:b/>
          <w:bCs/>
        </w:rPr>
        <w:t>Scope</w:t>
      </w:r>
    </w:p>
    <w:p w14:paraId="372DC587" w14:textId="0292E3CB" w:rsidR="008B0A2F" w:rsidRDefault="008B0A2F" w:rsidP="004411FA">
      <w:r w:rsidRPr="008B0A2F">
        <w:t xml:space="preserve">This </w:t>
      </w:r>
      <w:r w:rsidR="00516B09">
        <w:t>document</w:t>
      </w:r>
      <w:r w:rsidRPr="008B0A2F">
        <w:t xml:space="preserve"> applies to all </w:t>
      </w:r>
      <w:r w:rsidR="00516B09">
        <w:t xml:space="preserve">I.T. </w:t>
      </w:r>
      <w:r w:rsidRPr="008B0A2F">
        <w:t>systems, networks, applications, and data owned</w:t>
      </w:r>
      <w:r w:rsidR="000F28B3">
        <w:t xml:space="preserve"> </w:t>
      </w:r>
      <w:r w:rsidRPr="008B0A2F">
        <w:t>by Omazon Corporation. It encompasses all employees, contractors, consultants, and any other personnel with access to the company's IT resources.</w:t>
      </w:r>
    </w:p>
    <w:p w14:paraId="1B97F6D0" w14:textId="559B0579" w:rsidR="004411FA" w:rsidRPr="004411FA" w:rsidRDefault="00046B83" w:rsidP="004411FA">
      <w:pPr>
        <w:rPr>
          <w:b/>
          <w:bCs/>
        </w:rPr>
      </w:pPr>
      <w:r>
        <w:rPr>
          <w:b/>
          <w:bCs/>
        </w:rPr>
        <w:t xml:space="preserve">III. </w:t>
      </w:r>
      <w:r w:rsidR="004411FA" w:rsidRPr="004411FA">
        <w:rPr>
          <w:b/>
          <w:bCs/>
        </w:rPr>
        <w:t>Objectives</w:t>
      </w:r>
    </w:p>
    <w:p w14:paraId="31294ECB" w14:textId="77777777" w:rsidR="00111D11" w:rsidRDefault="00111D11" w:rsidP="00247EE8">
      <w:pPr>
        <w:pStyle w:val="ListParagraph"/>
        <w:numPr>
          <w:ilvl w:val="0"/>
          <w:numId w:val="7"/>
        </w:numPr>
      </w:pPr>
      <w:r>
        <w:t>Proactively identify and respond to potential threats.</w:t>
      </w:r>
    </w:p>
    <w:p w14:paraId="18C088A2" w14:textId="77777777" w:rsidR="00111D11" w:rsidRDefault="00111D11" w:rsidP="00247EE8">
      <w:pPr>
        <w:pStyle w:val="ListParagraph"/>
        <w:numPr>
          <w:ilvl w:val="0"/>
          <w:numId w:val="7"/>
        </w:numPr>
      </w:pPr>
      <w:r>
        <w:t>Reduce the number of threats within the network.</w:t>
      </w:r>
    </w:p>
    <w:p w14:paraId="2D465BE3" w14:textId="77777777" w:rsidR="00111D11" w:rsidRDefault="00111D11" w:rsidP="00247EE8">
      <w:pPr>
        <w:pStyle w:val="ListParagraph"/>
        <w:numPr>
          <w:ilvl w:val="0"/>
          <w:numId w:val="7"/>
        </w:numPr>
      </w:pPr>
      <w:r>
        <w:t>Improve incident detection and response capabilities.</w:t>
      </w:r>
    </w:p>
    <w:p w14:paraId="6E2F0322" w14:textId="77777777" w:rsidR="00111D11" w:rsidRDefault="00111D11" w:rsidP="00247EE8">
      <w:pPr>
        <w:pStyle w:val="ListParagraph"/>
        <w:numPr>
          <w:ilvl w:val="0"/>
          <w:numId w:val="7"/>
        </w:numPr>
      </w:pPr>
      <w:r>
        <w:t>Bring awareness and educate all employees within Omazon Organization.</w:t>
      </w:r>
    </w:p>
    <w:p w14:paraId="0A6C6FBC" w14:textId="421D03FE" w:rsidR="00895BC4" w:rsidRDefault="00C15341" w:rsidP="00111D11">
      <w:pPr>
        <w:rPr>
          <w:b/>
          <w:bCs/>
        </w:rPr>
      </w:pPr>
      <w:r>
        <w:rPr>
          <w:b/>
          <w:bCs/>
        </w:rPr>
        <w:t xml:space="preserve">IV. </w:t>
      </w:r>
      <w:r w:rsidR="00895BC4" w:rsidRPr="00895BC4">
        <w:rPr>
          <w:b/>
          <w:bCs/>
        </w:rPr>
        <w:t>Mission Statement and Purpose</w:t>
      </w:r>
    </w:p>
    <w:p w14:paraId="658E0E2D" w14:textId="77777777" w:rsidR="00B3311F" w:rsidRDefault="00B3311F" w:rsidP="00B3311F">
      <w:r>
        <w:t>Mission: To proactively detect and mitigate advanced cyber threats through continuous, intelligence-driven threat hunting, enhancing our organization's resilience and safeguarding critical assets.</w:t>
      </w:r>
    </w:p>
    <w:p w14:paraId="611E2E1C" w14:textId="77777777" w:rsidR="00665F9F" w:rsidRDefault="00B3311F" w:rsidP="00B3311F">
      <w:r>
        <w:t>Purpose: The purpose of our threat-hunting program is to systematically identify and neutralize potential threats that evade traditional security measures, thereby reducing the likelihood and impact of cyber incidents while maintaining the integrity and availability of our systems and data.</w:t>
      </w:r>
    </w:p>
    <w:p w14:paraId="6603F1C4" w14:textId="2A4CD899" w:rsidR="004411FA" w:rsidRPr="004411FA" w:rsidRDefault="00046B83" w:rsidP="00B3311F">
      <w:pPr>
        <w:rPr>
          <w:b/>
          <w:bCs/>
        </w:rPr>
      </w:pPr>
      <w:r>
        <w:rPr>
          <w:b/>
          <w:bCs/>
        </w:rPr>
        <w:t xml:space="preserve">V. </w:t>
      </w:r>
      <w:r w:rsidR="004411FA" w:rsidRPr="004411FA">
        <w:rPr>
          <w:b/>
          <w:bCs/>
        </w:rPr>
        <w:t>Roles and Responsibilities</w:t>
      </w:r>
    </w:p>
    <w:p w14:paraId="72092C0C" w14:textId="77777777" w:rsidR="00405131" w:rsidRDefault="00405131" w:rsidP="00405131">
      <w:pPr>
        <w:pStyle w:val="ListParagraph"/>
        <w:numPr>
          <w:ilvl w:val="0"/>
          <w:numId w:val="8"/>
        </w:numPr>
      </w:pPr>
      <w:r>
        <w:t>Chief Information Security Officer (CISO): Oversees the threat-hunting program and ensures it aligns with the organization's ultimate goal of being an industry leader by calendar year 2029.</w:t>
      </w:r>
    </w:p>
    <w:p w14:paraId="64EBB827" w14:textId="2324CA22" w:rsidR="00405131" w:rsidRDefault="00405131" w:rsidP="00405131">
      <w:pPr>
        <w:pStyle w:val="ListParagraph"/>
        <w:numPr>
          <w:ilvl w:val="0"/>
          <w:numId w:val="8"/>
        </w:numPr>
      </w:pPr>
      <w:r>
        <w:t>Threat Hunter</w:t>
      </w:r>
      <w:r w:rsidR="00527190">
        <w:t xml:space="preserve"> Team</w:t>
      </w:r>
      <w:r>
        <w:t xml:space="preserve"> Lead: Will manage the threat-hunting activities and coordinate with other IT and security teams.</w:t>
      </w:r>
    </w:p>
    <w:p w14:paraId="42048A4F" w14:textId="77777777" w:rsidR="00405131" w:rsidRDefault="00405131" w:rsidP="00405131">
      <w:pPr>
        <w:pStyle w:val="ListParagraph"/>
        <w:numPr>
          <w:ilvl w:val="0"/>
          <w:numId w:val="8"/>
        </w:numPr>
      </w:pPr>
      <w:r>
        <w:lastRenderedPageBreak/>
        <w:t>Threat Hunters: Will conduct proactive threat-hunting activities, analyze findings, and recommend mitigation actions.</w:t>
      </w:r>
    </w:p>
    <w:p w14:paraId="433ABFE2" w14:textId="77777777" w:rsidR="00405131" w:rsidRDefault="00405131" w:rsidP="00405131">
      <w:pPr>
        <w:pStyle w:val="ListParagraph"/>
        <w:numPr>
          <w:ilvl w:val="0"/>
          <w:numId w:val="8"/>
        </w:numPr>
      </w:pPr>
      <w:r>
        <w:t>Threat Hunting Analyst: Will deep dive into data sets and correlate findings with threat intelligence.</w:t>
      </w:r>
    </w:p>
    <w:p w14:paraId="3FE00A02" w14:textId="10F43433" w:rsidR="00405131" w:rsidRDefault="00405131" w:rsidP="00405131">
      <w:pPr>
        <w:pStyle w:val="ListParagraph"/>
        <w:numPr>
          <w:ilvl w:val="0"/>
          <w:numId w:val="8"/>
        </w:numPr>
      </w:pPr>
      <w:r>
        <w:t xml:space="preserve">Threat Intelligence Analyst: Is responsible for gathering, </w:t>
      </w:r>
      <w:r w:rsidR="00527190">
        <w:t>analyzing</w:t>
      </w:r>
      <w:r>
        <w:t>, and distributing adversary TTPs to assist with threat-hunting activities.</w:t>
      </w:r>
    </w:p>
    <w:p w14:paraId="7FF3C5E2" w14:textId="10ECBE74" w:rsidR="00675BF7" w:rsidRDefault="00405131" w:rsidP="00405131">
      <w:pPr>
        <w:pStyle w:val="ListParagraph"/>
        <w:numPr>
          <w:ilvl w:val="0"/>
          <w:numId w:val="8"/>
        </w:numPr>
      </w:pPr>
      <w:r>
        <w:t>Forensics Analyst: Will meticulously analyze evidence from cyber incidents to reconstruct timelines, identify security additional security threats, and determine the methods used by attackers. They will be responsible for communicating with incident response teams, legal counsel, and law enforcement, presenting their findings in clear, detailed reports.</w:t>
      </w:r>
    </w:p>
    <w:p w14:paraId="56ADFA54" w14:textId="51006FBC" w:rsidR="00675BF7" w:rsidRDefault="00A20262" w:rsidP="004411FA">
      <w:pPr>
        <w:rPr>
          <w:b/>
          <w:bCs/>
        </w:rPr>
      </w:pPr>
      <w:r>
        <w:rPr>
          <w:b/>
          <w:bCs/>
        </w:rPr>
        <w:t>V</w:t>
      </w:r>
      <w:r w:rsidR="00C15341">
        <w:rPr>
          <w:b/>
          <w:bCs/>
        </w:rPr>
        <w:t>I</w:t>
      </w:r>
      <w:r>
        <w:rPr>
          <w:b/>
          <w:bCs/>
        </w:rPr>
        <w:t xml:space="preserve">. </w:t>
      </w:r>
      <w:r w:rsidR="00036091" w:rsidRPr="006A0A67">
        <w:rPr>
          <w:b/>
          <w:bCs/>
        </w:rPr>
        <w:t>Or</w:t>
      </w:r>
      <w:r w:rsidR="006A0A67" w:rsidRPr="006A0A67">
        <w:rPr>
          <w:b/>
          <w:bCs/>
        </w:rPr>
        <w:t xml:space="preserve">ganizational </w:t>
      </w:r>
      <w:r w:rsidR="00AB0AF1">
        <w:rPr>
          <w:b/>
          <w:bCs/>
        </w:rPr>
        <w:t>Structure</w:t>
      </w:r>
    </w:p>
    <w:p w14:paraId="5DE202C1" w14:textId="1FC19139" w:rsidR="00E13F0A" w:rsidRDefault="000874CB" w:rsidP="004411FA">
      <w:pPr>
        <w:rPr>
          <w:b/>
          <w:bCs/>
        </w:rPr>
      </w:pPr>
      <w:r>
        <w:object w:dxaOrig="6796" w:dyaOrig="5475" w14:anchorId="613DED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75pt;height:273.75pt" o:ole="">
            <v:imagedata r:id="rId8" o:title=""/>
          </v:shape>
          <o:OLEObject Type="Embed" ProgID="Visio.Drawing.15" ShapeID="_x0000_i1025" DrawAspect="Content" ObjectID="_1802019467" r:id="rId9"/>
        </w:object>
      </w:r>
    </w:p>
    <w:p w14:paraId="1F9D4259" w14:textId="5E247B14" w:rsidR="009E4C17" w:rsidRDefault="009E4C17" w:rsidP="009E4C17">
      <w:pPr>
        <w:rPr>
          <w:b/>
          <w:bCs/>
        </w:rPr>
      </w:pPr>
      <w:r>
        <w:rPr>
          <w:b/>
          <w:bCs/>
        </w:rPr>
        <w:t>VI</w:t>
      </w:r>
      <w:r w:rsidR="00C15341">
        <w:rPr>
          <w:b/>
          <w:bCs/>
        </w:rPr>
        <w:t>I</w:t>
      </w:r>
      <w:r>
        <w:rPr>
          <w:b/>
          <w:bCs/>
        </w:rPr>
        <w:t xml:space="preserve">. </w:t>
      </w:r>
      <w:r w:rsidR="00115175">
        <w:rPr>
          <w:b/>
          <w:bCs/>
        </w:rPr>
        <w:t>Relationship within</w:t>
      </w:r>
      <w:r w:rsidR="00DB33E5">
        <w:rPr>
          <w:b/>
          <w:bCs/>
        </w:rPr>
        <w:t xml:space="preserve"> </w:t>
      </w:r>
      <w:r w:rsidR="0014781F">
        <w:rPr>
          <w:b/>
          <w:bCs/>
        </w:rPr>
        <w:t>Security Operation Center (SOC)</w:t>
      </w:r>
    </w:p>
    <w:p w14:paraId="243CB7E4" w14:textId="77777777" w:rsidR="00F22C19" w:rsidRDefault="00F22C19" w:rsidP="004411FA">
      <w:r w:rsidRPr="00F22C19">
        <w:t xml:space="preserve">The Threat Hunting Team plays a pivotal role within our Security Operations Center (SOC) swiftly assessing our IT infrastructure against external threats. Close collaboration between the Threat Hunting Team and SOC analysts is crucial for strengthening and safeguarding our security posture. SOC analysts monitor real-time alerts and provide valuable insights that guide threat hunters in conducting in-depth investigations into potential threats. </w:t>
      </w:r>
    </w:p>
    <w:p w14:paraId="53E8A07D" w14:textId="1E61AD29" w:rsidR="00F22C19" w:rsidRDefault="00F22C19" w:rsidP="004411FA">
      <w:r w:rsidRPr="00F22C19">
        <w:t>By analyzing suspicious activities thoroughly, the Threat Hunting Team uncovers adversary tactics, techniques, and procedures (TTPs), thereby supporting incident response efforts effectively. This collaborative relationship enhances our organization's ability to detect, analyze, and respond to security threats proactively.</w:t>
      </w:r>
    </w:p>
    <w:p w14:paraId="3248E5CE" w14:textId="31E25BCD" w:rsidR="004411FA" w:rsidRDefault="004411FA" w:rsidP="004411FA">
      <w:pPr>
        <w:rPr>
          <w:b/>
          <w:bCs/>
        </w:rPr>
      </w:pPr>
      <w:r w:rsidRPr="00C15341">
        <w:rPr>
          <w:b/>
          <w:bCs/>
        </w:rPr>
        <w:lastRenderedPageBreak/>
        <w:t xml:space="preserve"> </w:t>
      </w:r>
      <w:r w:rsidR="00892489" w:rsidRPr="00C15341">
        <w:rPr>
          <w:b/>
          <w:bCs/>
        </w:rPr>
        <w:t>VII</w:t>
      </w:r>
      <w:r w:rsidR="00C15341" w:rsidRPr="00C15341">
        <w:rPr>
          <w:b/>
          <w:bCs/>
        </w:rPr>
        <w:t>I</w:t>
      </w:r>
      <w:r w:rsidR="00892489" w:rsidRPr="00C15341">
        <w:rPr>
          <w:b/>
          <w:bCs/>
        </w:rPr>
        <w:t xml:space="preserve">. </w:t>
      </w:r>
      <w:r w:rsidRPr="00C15341">
        <w:rPr>
          <w:b/>
          <w:bCs/>
        </w:rPr>
        <w:t>Threat Hunting Procedures</w:t>
      </w:r>
    </w:p>
    <w:p w14:paraId="0F8EE5CD" w14:textId="19F65779" w:rsidR="0001674A" w:rsidRPr="00413D7B" w:rsidRDefault="0001674A" w:rsidP="004411FA">
      <w:r w:rsidRPr="00413D7B">
        <w:t xml:space="preserve">For </w:t>
      </w:r>
      <w:r w:rsidR="00413D7B" w:rsidRPr="00413D7B">
        <w:t>questions</w:t>
      </w:r>
      <w:r w:rsidRPr="00413D7B">
        <w:t xml:space="preserve"> </w:t>
      </w:r>
      <w:r w:rsidR="00413D7B" w:rsidRPr="00413D7B">
        <w:t>regarding</w:t>
      </w:r>
      <w:r w:rsidRPr="00413D7B">
        <w:t xml:space="preserve"> </w:t>
      </w:r>
      <w:r w:rsidR="00A77123" w:rsidRPr="00413D7B">
        <w:t xml:space="preserve">threat hunting </w:t>
      </w:r>
      <w:r w:rsidRPr="00413D7B">
        <w:t xml:space="preserve">procedures </w:t>
      </w:r>
      <w:r w:rsidR="00A77123" w:rsidRPr="00413D7B">
        <w:t xml:space="preserve">please refer to </w:t>
      </w:r>
      <w:r w:rsidR="00413D7B" w:rsidRPr="00413D7B">
        <w:t>the below policy.</w:t>
      </w:r>
      <w:r w:rsidRPr="00413D7B">
        <w:t xml:space="preserve"> </w:t>
      </w:r>
    </w:p>
    <w:p w14:paraId="190C4170" w14:textId="20BF39D6" w:rsidR="004264AF" w:rsidRDefault="004264AF" w:rsidP="004264AF">
      <w:pPr>
        <w:pStyle w:val="Bibliography"/>
        <w:ind w:left="720" w:hanging="720"/>
        <w:rPr>
          <w:noProof/>
        </w:rPr>
      </w:pPr>
      <w:r>
        <w:rPr>
          <w:i/>
          <w:iCs/>
          <w:noProof/>
        </w:rPr>
        <w:t>Omazon Threat Hunting Guidelines and Procedures</w:t>
      </w:r>
      <w:r w:rsidR="00413D7B">
        <w:rPr>
          <w:i/>
          <w:iCs/>
          <w:noProof/>
        </w:rPr>
        <w:t xml:space="preserve"> </w:t>
      </w:r>
      <w:r w:rsidR="00745FAD">
        <w:rPr>
          <w:i/>
          <w:iCs/>
          <w:noProof/>
        </w:rPr>
        <w:t>version 2</w:t>
      </w:r>
    </w:p>
    <w:p w14:paraId="40C9AA44" w14:textId="2BFA6327" w:rsidR="004411FA" w:rsidRDefault="00F0612D" w:rsidP="004411FA">
      <w:pPr>
        <w:rPr>
          <w:b/>
          <w:bCs/>
        </w:rPr>
      </w:pPr>
      <w:r>
        <w:rPr>
          <w:b/>
          <w:bCs/>
        </w:rPr>
        <w:t xml:space="preserve">IX. </w:t>
      </w:r>
      <w:r w:rsidR="004411FA" w:rsidRPr="004411FA">
        <w:rPr>
          <w:b/>
          <w:bCs/>
        </w:rPr>
        <w:t>Data Collection</w:t>
      </w:r>
    </w:p>
    <w:p w14:paraId="4E3AD5E1" w14:textId="0237CB19" w:rsidR="0008602B" w:rsidRDefault="0008602B" w:rsidP="004411FA">
      <w:r w:rsidRPr="0008602B">
        <w:t xml:space="preserve">The threat-hunting team </w:t>
      </w:r>
      <w:r w:rsidR="00745FAD">
        <w:t xml:space="preserve">will </w:t>
      </w:r>
      <w:r w:rsidR="00831490" w:rsidRPr="0008602B">
        <w:t>use</w:t>
      </w:r>
      <w:r w:rsidRPr="0008602B">
        <w:t xml:space="preserve"> a systematic approach to gather data from various important sources within the organization's IT infrastructure. They will use network monitoring tools, IDS/IPS systems, and network sensors to capture and log detailed network traffic data, including IP addresses, ports, protocols, and payloads. At the same time, Endpoint Detection and Response (EDR) agents are installed on endpoints to continuously collect telemetry data like process executions, file modifications, and user activities to identify suspicious behaviors and anomalies. Integration with an SIEM system helps in centralizing security event logs from firewalls, antivirus solutions, and other security devices for correlation and analysis to spot potential security incidents and attack patterns.</w:t>
      </w:r>
    </w:p>
    <w:p w14:paraId="60DB0BDE" w14:textId="4E633025" w:rsidR="0008602B" w:rsidRDefault="0008602B" w:rsidP="004411FA">
      <w:r w:rsidRPr="0008602B">
        <w:t xml:space="preserve"> This thorough data collection approach aims to provide a proactive threat detection program and effective incident response for the organization's network infrastructure. The threat-hunting team uses a systematic approach to gather data from various important sources within the organization's IT infrastructure. They will use network monitoring tools, IDS/IPS systems, and network sensors to capture and log detailed network traffic data, including IP addresses, ports, protocols, and payloads. At the same time, Endpoint Detection and Response (EDR) agents are installed on endpoints to continuously collect telemetry data like process executions, file modifications, and user activities to identify suspicious behaviors and anomalies. Integration with an SIEM system helps in centralizing security event logs from firewalls, antivirus solutions, and other security devices for correlation and analysis to spot potential security incidents and attack patterns. This thorough data collection approach aims to provide a proactive threat detection program and effective incident response for the organization's network infrastructure.</w:t>
      </w:r>
    </w:p>
    <w:p w14:paraId="7F2FE908" w14:textId="3953D9E5" w:rsidR="004411FA" w:rsidRPr="004411FA" w:rsidRDefault="00A15A0A" w:rsidP="004411FA">
      <w:pPr>
        <w:rPr>
          <w:b/>
          <w:bCs/>
        </w:rPr>
      </w:pPr>
      <w:r>
        <w:rPr>
          <w:b/>
          <w:bCs/>
        </w:rPr>
        <w:t xml:space="preserve">X. </w:t>
      </w:r>
      <w:r w:rsidR="000A6090">
        <w:rPr>
          <w:b/>
          <w:bCs/>
        </w:rPr>
        <w:t>Indicator of Compro</w:t>
      </w:r>
      <w:r w:rsidR="007E7F3F">
        <w:rPr>
          <w:b/>
          <w:bCs/>
        </w:rPr>
        <w:t>mise (IOC) Analysis</w:t>
      </w:r>
    </w:p>
    <w:p w14:paraId="2F465684" w14:textId="77777777" w:rsidR="00CB7398" w:rsidRDefault="00CB7398" w:rsidP="00CB7398">
      <w:r>
        <w:t>To implement the IOC (Indicator of Compromise) analysis method, the threat-hunting team will first compile a comprehensive database of known IOCs from various threat intelligence sources, including IP addresses, file hashes, domain names, and URLs associated with malicious activities. The team integrates this database into their SIEM (Security Information and Event Management) system to automate the process of cross-referencing collected data. Based on this if the SIEM logs show a connection to a known malicious IP address or the presence of a file with a hash matching a known piece of malware, these events are flagged for further investigation.</w:t>
      </w:r>
    </w:p>
    <w:p w14:paraId="24426829" w14:textId="77777777" w:rsidR="00CB7398" w:rsidRDefault="00CB7398" w:rsidP="00CB7398">
      <w:r>
        <w:t xml:space="preserve"> Regular updates to the IOC database from reputable threat intelligence feeds will ensure that the team stays ahead of emerging threats. By systematically matching observed data against known IOCs, the team can quickly identify and respond to potential security incidents, such as detecting a connection to a command-and-control server or identifying a phishing domain used in a recent attack campaign.</w:t>
      </w:r>
    </w:p>
    <w:p w14:paraId="0494A809" w14:textId="3AFD58BF" w:rsidR="004411FA" w:rsidRPr="004411FA" w:rsidRDefault="007B2119" w:rsidP="00CB7398">
      <w:pPr>
        <w:rPr>
          <w:b/>
          <w:bCs/>
        </w:rPr>
      </w:pPr>
      <w:r>
        <w:rPr>
          <w:b/>
          <w:bCs/>
        </w:rPr>
        <w:t xml:space="preserve">XI. </w:t>
      </w:r>
      <w:r w:rsidR="004411FA" w:rsidRPr="004411FA">
        <w:rPr>
          <w:b/>
          <w:bCs/>
        </w:rPr>
        <w:t>T</w:t>
      </w:r>
      <w:r w:rsidR="004B586F">
        <w:rPr>
          <w:b/>
          <w:bCs/>
        </w:rPr>
        <w:t>eam Assessment</w:t>
      </w:r>
    </w:p>
    <w:p w14:paraId="55FF12CC" w14:textId="2A1B4A24" w:rsidR="004411FA" w:rsidRDefault="004411FA" w:rsidP="004411FA">
      <w:r w:rsidRPr="004411FA">
        <w:lastRenderedPageBreak/>
        <w:t>Regular training sessions will be conducted to keep the threat hunting team updated on the latest threat hunting techniques, tools, and emerging threats</w:t>
      </w:r>
      <w:r w:rsidR="00715A8F">
        <w:t xml:space="preserve"> which will be held once a month</w:t>
      </w:r>
      <w:r w:rsidR="00D81C74">
        <w:t xml:space="preserve">, along with each member </w:t>
      </w:r>
      <w:r w:rsidR="003C6EC6">
        <w:t>receiving a performance review twice semiannually</w:t>
      </w:r>
      <w:r w:rsidRPr="004411FA">
        <w:t>. Awareness programs will also be held for all employees to understand their role in supporting threat hunting activities</w:t>
      </w:r>
      <w:r w:rsidR="00FA4DC2">
        <w:t xml:space="preserve"> </w:t>
      </w:r>
      <w:r w:rsidR="00A32879">
        <w:t>on</w:t>
      </w:r>
      <w:r w:rsidR="00877DFF">
        <w:t>ce</w:t>
      </w:r>
      <w:r w:rsidR="00A32879">
        <w:t xml:space="preserve"> a quarter</w:t>
      </w:r>
      <w:r w:rsidRPr="004411FA">
        <w:t>.</w:t>
      </w:r>
      <w:r w:rsidR="00D41DEC">
        <w:t xml:space="preserve"> The threat hunting team will be asses</w:t>
      </w:r>
      <w:r w:rsidR="00F05B15">
        <w:t>sed</w:t>
      </w:r>
      <w:r w:rsidR="00D41DEC">
        <w:t xml:space="preserve"> on the following performance indicators:</w:t>
      </w:r>
    </w:p>
    <w:p w14:paraId="64F5422D" w14:textId="77777777" w:rsidR="00F05B15" w:rsidRPr="00F05B15" w:rsidRDefault="00F05B15" w:rsidP="00F05B15">
      <w:pPr>
        <w:pStyle w:val="ListParagraph"/>
        <w:numPr>
          <w:ilvl w:val="0"/>
          <w:numId w:val="6"/>
        </w:numPr>
      </w:pPr>
      <w:r w:rsidRPr="00F05B15">
        <w:t>Number of Threats Detected: Measure the number of threats identified and validated by the threat hunting team.</w:t>
      </w:r>
    </w:p>
    <w:p w14:paraId="2FF8B4BB" w14:textId="77777777" w:rsidR="00F05B15" w:rsidRPr="00F05B15" w:rsidRDefault="00F05B15" w:rsidP="00F05B15">
      <w:pPr>
        <w:pStyle w:val="ListParagraph"/>
        <w:numPr>
          <w:ilvl w:val="0"/>
          <w:numId w:val="6"/>
        </w:numPr>
      </w:pPr>
      <w:r w:rsidRPr="00F05B15">
        <w:t>Time to Detect (TTD): Track the average time taken to detect threats from the moment they occur.</w:t>
      </w:r>
    </w:p>
    <w:p w14:paraId="733A317D" w14:textId="77777777" w:rsidR="00F05B15" w:rsidRPr="00F05B15" w:rsidRDefault="00F05B15" w:rsidP="00F05B15">
      <w:pPr>
        <w:pStyle w:val="ListParagraph"/>
        <w:numPr>
          <w:ilvl w:val="0"/>
          <w:numId w:val="6"/>
        </w:numPr>
      </w:pPr>
      <w:r w:rsidRPr="00F05B15">
        <w:t>Time to Respond (TTR): Measure the time taken to respond to and mitigate detected threats.</w:t>
      </w:r>
    </w:p>
    <w:p w14:paraId="1A897429" w14:textId="77777777" w:rsidR="00F05B15" w:rsidRPr="00F05B15" w:rsidRDefault="00F05B15" w:rsidP="00F05B15">
      <w:pPr>
        <w:pStyle w:val="ListParagraph"/>
        <w:numPr>
          <w:ilvl w:val="0"/>
          <w:numId w:val="6"/>
        </w:numPr>
      </w:pPr>
      <w:r w:rsidRPr="00F05B15">
        <w:t>False Positives/Negatives: Monitor the rate of false positives and false negatives to assess the accuracy of threat detection.</w:t>
      </w:r>
    </w:p>
    <w:p w14:paraId="3B9597EF" w14:textId="77777777" w:rsidR="00D41DEC" w:rsidRPr="004411FA" w:rsidRDefault="00D41DEC" w:rsidP="004411FA"/>
    <w:p w14:paraId="3580F86C" w14:textId="6060AF10" w:rsidR="004411FA" w:rsidRPr="007B2119" w:rsidRDefault="004411FA" w:rsidP="004411FA">
      <w:pPr>
        <w:rPr>
          <w:b/>
          <w:bCs/>
        </w:rPr>
      </w:pPr>
      <w:r w:rsidRPr="007B2119">
        <w:rPr>
          <w:b/>
          <w:bCs/>
        </w:rPr>
        <w:t xml:space="preserve"> </w:t>
      </w:r>
      <w:r w:rsidR="007B2119" w:rsidRPr="007B2119">
        <w:rPr>
          <w:b/>
          <w:bCs/>
        </w:rPr>
        <w:t xml:space="preserve">XII. </w:t>
      </w:r>
      <w:r w:rsidR="00574E80" w:rsidRPr="007B2119">
        <w:rPr>
          <w:b/>
          <w:bCs/>
        </w:rPr>
        <w:t>B</w:t>
      </w:r>
      <w:r w:rsidR="002120BB" w:rsidRPr="007B2119">
        <w:rPr>
          <w:b/>
          <w:bCs/>
        </w:rPr>
        <w:t>udget</w:t>
      </w:r>
    </w:p>
    <w:tbl>
      <w:tblPr>
        <w:tblW w:w="10720" w:type="dxa"/>
        <w:tblLook w:val="04A0" w:firstRow="1" w:lastRow="0" w:firstColumn="1" w:lastColumn="0" w:noHBand="0" w:noVBand="1"/>
      </w:tblPr>
      <w:tblGrid>
        <w:gridCol w:w="5800"/>
        <w:gridCol w:w="4920"/>
      </w:tblGrid>
      <w:tr w:rsidR="00C8585B" w:rsidRPr="00C8585B" w14:paraId="0FD072F7" w14:textId="77777777" w:rsidTr="00C8585B">
        <w:trPr>
          <w:trHeight w:val="315"/>
        </w:trPr>
        <w:tc>
          <w:tcPr>
            <w:tcW w:w="5800" w:type="dxa"/>
            <w:tcBorders>
              <w:top w:val="single" w:sz="8" w:space="0" w:color="000000"/>
              <w:left w:val="single" w:sz="8" w:space="0" w:color="000000"/>
              <w:bottom w:val="single" w:sz="8" w:space="0" w:color="000000"/>
              <w:right w:val="nil"/>
            </w:tcBorders>
            <w:shd w:val="clear" w:color="000000" w:fill="000000"/>
            <w:vAlign w:val="bottom"/>
            <w:hideMark/>
          </w:tcPr>
          <w:p w14:paraId="63675679" w14:textId="77777777" w:rsidR="00C8585B" w:rsidRPr="00C8585B" w:rsidRDefault="00C8585B" w:rsidP="00C8585B">
            <w:pPr>
              <w:spacing w:after="0" w:line="240" w:lineRule="auto"/>
              <w:jc w:val="center"/>
              <w:rPr>
                <w:rFonts w:ascii="Segoe UI" w:eastAsia="Times New Roman" w:hAnsi="Segoe UI" w:cs="Segoe UI"/>
                <w:b/>
                <w:bCs/>
                <w:color w:val="FFFFFF"/>
                <w:sz w:val="19"/>
                <w:szCs w:val="19"/>
              </w:rPr>
            </w:pPr>
            <w:r w:rsidRPr="00C8585B">
              <w:rPr>
                <w:rFonts w:ascii="Segoe UI" w:eastAsia="Times New Roman" w:hAnsi="Segoe UI" w:cs="Segoe UI"/>
                <w:b/>
                <w:bCs/>
                <w:color w:val="FFFFFF"/>
                <w:sz w:val="19"/>
                <w:szCs w:val="19"/>
              </w:rPr>
              <w:t>Budget Item</w:t>
            </w:r>
          </w:p>
        </w:tc>
        <w:tc>
          <w:tcPr>
            <w:tcW w:w="4920" w:type="dxa"/>
            <w:tcBorders>
              <w:top w:val="single" w:sz="8" w:space="0" w:color="000000"/>
              <w:left w:val="single" w:sz="8" w:space="0" w:color="000000"/>
              <w:bottom w:val="single" w:sz="8" w:space="0" w:color="000000"/>
              <w:right w:val="single" w:sz="8" w:space="0" w:color="000000"/>
            </w:tcBorders>
            <w:shd w:val="clear" w:color="000000" w:fill="000000"/>
            <w:vAlign w:val="bottom"/>
            <w:hideMark/>
          </w:tcPr>
          <w:p w14:paraId="0E6D3D2C" w14:textId="77777777" w:rsidR="00C8585B" w:rsidRPr="00C8585B" w:rsidRDefault="00C8585B" w:rsidP="00C8585B">
            <w:pPr>
              <w:spacing w:after="0" w:line="240" w:lineRule="auto"/>
              <w:jc w:val="center"/>
              <w:rPr>
                <w:rFonts w:ascii="Segoe UI" w:eastAsia="Times New Roman" w:hAnsi="Segoe UI" w:cs="Segoe UI"/>
                <w:b/>
                <w:bCs/>
                <w:color w:val="FFFFFF"/>
                <w:sz w:val="19"/>
                <w:szCs w:val="19"/>
              </w:rPr>
            </w:pPr>
            <w:r w:rsidRPr="00C8585B">
              <w:rPr>
                <w:rFonts w:ascii="Segoe UI" w:eastAsia="Times New Roman" w:hAnsi="Segoe UI" w:cs="Segoe UI"/>
                <w:b/>
                <w:bCs/>
                <w:color w:val="FFFFFF"/>
                <w:sz w:val="19"/>
                <w:szCs w:val="19"/>
              </w:rPr>
              <w:t>Cost</w:t>
            </w:r>
          </w:p>
        </w:tc>
      </w:tr>
      <w:tr w:rsidR="00C8585B" w:rsidRPr="00C8585B" w14:paraId="43876DD9" w14:textId="77777777" w:rsidTr="00C8585B">
        <w:trPr>
          <w:trHeight w:val="630"/>
        </w:trPr>
        <w:tc>
          <w:tcPr>
            <w:tcW w:w="5800" w:type="dxa"/>
            <w:tcBorders>
              <w:top w:val="nil"/>
              <w:left w:val="single" w:sz="8" w:space="0" w:color="000000"/>
              <w:bottom w:val="single" w:sz="8" w:space="0" w:color="000000"/>
              <w:right w:val="nil"/>
            </w:tcBorders>
            <w:shd w:val="clear" w:color="000000" w:fill="FFFFFF"/>
            <w:vAlign w:val="center"/>
            <w:hideMark/>
          </w:tcPr>
          <w:p w14:paraId="4AD72720" w14:textId="77777777" w:rsidR="00C8585B" w:rsidRPr="00C8585B" w:rsidRDefault="00C8585B" w:rsidP="00C8585B">
            <w:pPr>
              <w:spacing w:after="0" w:line="240" w:lineRule="auto"/>
              <w:rPr>
                <w:rFonts w:ascii="Segoe UI" w:eastAsia="Times New Roman" w:hAnsi="Segoe UI" w:cs="Segoe UI"/>
                <w:b/>
                <w:bCs/>
                <w:color w:val="0D0D0D"/>
                <w:sz w:val="19"/>
                <w:szCs w:val="19"/>
              </w:rPr>
            </w:pPr>
            <w:r w:rsidRPr="00C8585B">
              <w:rPr>
                <w:rFonts w:ascii="Segoe UI" w:eastAsia="Times New Roman" w:hAnsi="Segoe UI" w:cs="Segoe UI"/>
                <w:b/>
                <w:bCs/>
                <w:color w:val="0D0D0D"/>
                <w:sz w:val="19"/>
                <w:szCs w:val="19"/>
              </w:rPr>
              <w:t>Personnel Costs (Salaries, Benefits)</w:t>
            </w:r>
          </w:p>
        </w:tc>
        <w:tc>
          <w:tcPr>
            <w:tcW w:w="4920" w:type="dxa"/>
            <w:tcBorders>
              <w:top w:val="nil"/>
              <w:left w:val="single" w:sz="8" w:space="0" w:color="000000"/>
              <w:bottom w:val="single" w:sz="8" w:space="0" w:color="000000"/>
              <w:right w:val="single" w:sz="8" w:space="0" w:color="000000"/>
            </w:tcBorders>
            <w:shd w:val="clear" w:color="000000" w:fill="FFFFFF"/>
            <w:vAlign w:val="center"/>
            <w:hideMark/>
          </w:tcPr>
          <w:p w14:paraId="3B04D5B6" w14:textId="77777777" w:rsidR="00C8585B" w:rsidRPr="00C8585B" w:rsidRDefault="00C8585B" w:rsidP="00C8585B">
            <w:pPr>
              <w:spacing w:after="0" w:line="240" w:lineRule="auto"/>
              <w:jc w:val="right"/>
              <w:rPr>
                <w:rFonts w:ascii="Segoe UI" w:eastAsia="Times New Roman" w:hAnsi="Segoe UI" w:cs="Segoe UI"/>
                <w:color w:val="0D0D0D"/>
                <w:sz w:val="19"/>
                <w:szCs w:val="19"/>
              </w:rPr>
            </w:pPr>
            <w:r w:rsidRPr="00C8585B">
              <w:rPr>
                <w:rFonts w:ascii="Segoe UI" w:eastAsia="Times New Roman" w:hAnsi="Segoe UI" w:cs="Segoe UI"/>
                <w:color w:val="0D0D0D"/>
                <w:sz w:val="19"/>
                <w:szCs w:val="19"/>
              </w:rPr>
              <w:t xml:space="preserve">$500,000 </w:t>
            </w:r>
          </w:p>
        </w:tc>
      </w:tr>
      <w:tr w:rsidR="00C8585B" w:rsidRPr="00C8585B" w14:paraId="017D44AF" w14:textId="77777777" w:rsidTr="00C8585B">
        <w:trPr>
          <w:trHeight w:val="555"/>
        </w:trPr>
        <w:tc>
          <w:tcPr>
            <w:tcW w:w="5800" w:type="dxa"/>
            <w:tcBorders>
              <w:top w:val="nil"/>
              <w:left w:val="single" w:sz="8" w:space="0" w:color="000000"/>
              <w:bottom w:val="single" w:sz="8" w:space="0" w:color="000000"/>
              <w:right w:val="nil"/>
            </w:tcBorders>
            <w:shd w:val="clear" w:color="000000" w:fill="FFFFFF"/>
            <w:vAlign w:val="center"/>
            <w:hideMark/>
          </w:tcPr>
          <w:p w14:paraId="3D8E09A8" w14:textId="77777777" w:rsidR="00C8585B" w:rsidRPr="00C8585B" w:rsidRDefault="00C8585B" w:rsidP="00C8585B">
            <w:pPr>
              <w:spacing w:after="0" w:line="240" w:lineRule="auto"/>
              <w:rPr>
                <w:rFonts w:ascii="Segoe UI" w:eastAsia="Times New Roman" w:hAnsi="Segoe UI" w:cs="Segoe UI"/>
                <w:b/>
                <w:bCs/>
                <w:color w:val="0D0D0D"/>
                <w:sz w:val="19"/>
                <w:szCs w:val="19"/>
              </w:rPr>
            </w:pPr>
            <w:r w:rsidRPr="00C8585B">
              <w:rPr>
                <w:rFonts w:ascii="Segoe UI" w:eastAsia="Times New Roman" w:hAnsi="Segoe UI" w:cs="Segoe UI"/>
                <w:b/>
                <w:bCs/>
                <w:color w:val="0D0D0D"/>
                <w:sz w:val="19"/>
                <w:szCs w:val="19"/>
              </w:rPr>
              <w:t>Training and Certifications</w:t>
            </w:r>
          </w:p>
        </w:tc>
        <w:tc>
          <w:tcPr>
            <w:tcW w:w="4920" w:type="dxa"/>
            <w:tcBorders>
              <w:top w:val="nil"/>
              <w:left w:val="single" w:sz="8" w:space="0" w:color="000000"/>
              <w:bottom w:val="single" w:sz="8" w:space="0" w:color="000000"/>
              <w:right w:val="single" w:sz="8" w:space="0" w:color="000000"/>
            </w:tcBorders>
            <w:shd w:val="clear" w:color="000000" w:fill="FFFFFF"/>
            <w:vAlign w:val="center"/>
            <w:hideMark/>
          </w:tcPr>
          <w:p w14:paraId="0D15341F" w14:textId="77777777" w:rsidR="00C8585B" w:rsidRPr="00C8585B" w:rsidRDefault="00C8585B" w:rsidP="00C8585B">
            <w:pPr>
              <w:spacing w:after="0" w:line="240" w:lineRule="auto"/>
              <w:jc w:val="right"/>
              <w:rPr>
                <w:rFonts w:ascii="Segoe UI" w:eastAsia="Times New Roman" w:hAnsi="Segoe UI" w:cs="Segoe UI"/>
                <w:color w:val="0D0D0D"/>
                <w:sz w:val="19"/>
                <w:szCs w:val="19"/>
              </w:rPr>
            </w:pPr>
            <w:r w:rsidRPr="00C8585B">
              <w:rPr>
                <w:rFonts w:ascii="Segoe UI" w:eastAsia="Times New Roman" w:hAnsi="Segoe UI" w:cs="Segoe UI"/>
                <w:color w:val="0D0D0D"/>
                <w:sz w:val="19"/>
                <w:szCs w:val="19"/>
              </w:rPr>
              <w:t xml:space="preserve">$50,000 </w:t>
            </w:r>
          </w:p>
        </w:tc>
      </w:tr>
      <w:tr w:rsidR="00C8585B" w:rsidRPr="00C8585B" w14:paraId="7E73543F" w14:textId="77777777" w:rsidTr="00C8585B">
        <w:trPr>
          <w:trHeight w:val="465"/>
        </w:trPr>
        <w:tc>
          <w:tcPr>
            <w:tcW w:w="5800" w:type="dxa"/>
            <w:tcBorders>
              <w:top w:val="nil"/>
              <w:left w:val="single" w:sz="8" w:space="0" w:color="000000"/>
              <w:bottom w:val="single" w:sz="8" w:space="0" w:color="000000"/>
              <w:right w:val="nil"/>
            </w:tcBorders>
            <w:shd w:val="clear" w:color="000000" w:fill="FFFFFF"/>
            <w:vAlign w:val="center"/>
            <w:hideMark/>
          </w:tcPr>
          <w:p w14:paraId="3DC0A2A0" w14:textId="77777777" w:rsidR="00C8585B" w:rsidRPr="00C8585B" w:rsidRDefault="00C8585B" w:rsidP="00C8585B">
            <w:pPr>
              <w:spacing w:after="0" w:line="240" w:lineRule="auto"/>
              <w:rPr>
                <w:rFonts w:ascii="Segoe UI" w:eastAsia="Times New Roman" w:hAnsi="Segoe UI" w:cs="Segoe UI"/>
                <w:b/>
                <w:bCs/>
                <w:color w:val="0D0D0D"/>
                <w:sz w:val="19"/>
                <w:szCs w:val="19"/>
              </w:rPr>
            </w:pPr>
            <w:r w:rsidRPr="00C8585B">
              <w:rPr>
                <w:rFonts w:ascii="Segoe UI" w:eastAsia="Times New Roman" w:hAnsi="Segoe UI" w:cs="Segoe UI"/>
                <w:b/>
                <w:bCs/>
                <w:color w:val="0D0D0D"/>
                <w:sz w:val="19"/>
                <w:szCs w:val="19"/>
              </w:rPr>
              <w:t>Threat Intelligence Feeds</w:t>
            </w:r>
          </w:p>
        </w:tc>
        <w:tc>
          <w:tcPr>
            <w:tcW w:w="4920" w:type="dxa"/>
            <w:tcBorders>
              <w:top w:val="nil"/>
              <w:left w:val="single" w:sz="8" w:space="0" w:color="000000"/>
              <w:bottom w:val="single" w:sz="8" w:space="0" w:color="000000"/>
              <w:right w:val="single" w:sz="8" w:space="0" w:color="000000"/>
            </w:tcBorders>
            <w:shd w:val="clear" w:color="000000" w:fill="FFFFFF"/>
            <w:vAlign w:val="center"/>
            <w:hideMark/>
          </w:tcPr>
          <w:p w14:paraId="222B9EAF" w14:textId="77777777" w:rsidR="00C8585B" w:rsidRPr="00C8585B" w:rsidRDefault="00C8585B" w:rsidP="00C8585B">
            <w:pPr>
              <w:spacing w:after="0" w:line="240" w:lineRule="auto"/>
              <w:jc w:val="right"/>
              <w:rPr>
                <w:rFonts w:ascii="Segoe UI" w:eastAsia="Times New Roman" w:hAnsi="Segoe UI" w:cs="Segoe UI"/>
                <w:color w:val="0D0D0D"/>
                <w:sz w:val="19"/>
                <w:szCs w:val="19"/>
              </w:rPr>
            </w:pPr>
            <w:r w:rsidRPr="00C8585B">
              <w:rPr>
                <w:rFonts w:ascii="Segoe UI" w:eastAsia="Times New Roman" w:hAnsi="Segoe UI" w:cs="Segoe UI"/>
                <w:color w:val="0D0D0D"/>
                <w:sz w:val="19"/>
                <w:szCs w:val="19"/>
              </w:rPr>
              <w:t xml:space="preserve">$40,000 </w:t>
            </w:r>
          </w:p>
        </w:tc>
      </w:tr>
      <w:tr w:rsidR="00C8585B" w:rsidRPr="00C8585B" w14:paraId="2BD1C5D7" w14:textId="77777777" w:rsidTr="00C8585B">
        <w:trPr>
          <w:trHeight w:val="525"/>
        </w:trPr>
        <w:tc>
          <w:tcPr>
            <w:tcW w:w="5800" w:type="dxa"/>
            <w:tcBorders>
              <w:top w:val="nil"/>
              <w:left w:val="single" w:sz="8" w:space="0" w:color="000000"/>
              <w:bottom w:val="single" w:sz="8" w:space="0" w:color="000000"/>
              <w:right w:val="nil"/>
            </w:tcBorders>
            <w:shd w:val="clear" w:color="000000" w:fill="FFFFFF"/>
            <w:vAlign w:val="center"/>
            <w:hideMark/>
          </w:tcPr>
          <w:p w14:paraId="2973E954" w14:textId="6732ECB9" w:rsidR="00C8585B" w:rsidRPr="00C8585B" w:rsidRDefault="00C8585B" w:rsidP="00C8585B">
            <w:pPr>
              <w:spacing w:after="0" w:line="240" w:lineRule="auto"/>
              <w:rPr>
                <w:rFonts w:ascii="Segoe UI" w:eastAsia="Times New Roman" w:hAnsi="Segoe UI" w:cs="Segoe UI"/>
                <w:b/>
                <w:bCs/>
                <w:color w:val="0D0D0D"/>
                <w:sz w:val="19"/>
                <w:szCs w:val="19"/>
              </w:rPr>
            </w:pPr>
            <w:r w:rsidRPr="00C8585B">
              <w:rPr>
                <w:rFonts w:ascii="Segoe UI" w:eastAsia="Times New Roman" w:hAnsi="Segoe UI" w:cs="Segoe UI"/>
                <w:b/>
                <w:bCs/>
                <w:color w:val="0D0D0D"/>
                <w:sz w:val="19"/>
                <w:szCs w:val="19"/>
              </w:rPr>
              <w:t>SIEM System</w:t>
            </w:r>
          </w:p>
        </w:tc>
        <w:tc>
          <w:tcPr>
            <w:tcW w:w="4920" w:type="dxa"/>
            <w:tcBorders>
              <w:top w:val="nil"/>
              <w:left w:val="single" w:sz="8" w:space="0" w:color="000000"/>
              <w:bottom w:val="single" w:sz="8" w:space="0" w:color="000000"/>
              <w:right w:val="single" w:sz="8" w:space="0" w:color="000000"/>
            </w:tcBorders>
            <w:shd w:val="clear" w:color="000000" w:fill="FFFFFF"/>
            <w:vAlign w:val="center"/>
            <w:hideMark/>
          </w:tcPr>
          <w:p w14:paraId="5ECAF97B" w14:textId="77777777" w:rsidR="00C8585B" w:rsidRPr="00C8585B" w:rsidRDefault="00C8585B" w:rsidP="00C8585B">
            <w:pPr>
              <w:spacing w:after="0" w:line="240" w:lineRule="auto"/>
              <w:jc w:val="right"/>
              <w:rPr>
                <w:rFonts w:ascii="Segoe UI" w:eastAsia="Times New Roman" w:hAnsi="Segoe UI" w:cs="Segoe UI"/>
                <w:color w:val="0D0D0D"/>
                <w:sz w:val="19"/>
                <w:szCs w:val="19"/>
              </w:rPr>
            </w:pPr>
            <w:r w:rsidRPr="00C8585B">
              <w:rPr>
                <w:rFonts w:ascii="Segoe UI" w:eastAsia="Times New Roman" w:hAnsi="Segoe UI" w:cs="Segoe UI"/>
                <w:color w:val="0D0D0D"/>
                <w:sz w:val="19"/>
                <w:szCs w:val="19"/>
              </w:rPr>
              <w:t xml:space="preserve">$150,000 </w:t>
            </w:r>
          </w:p>
        </w:tc>
      </w:tr>
      <w:tr w:rsidR="00C8585B" w:rsidRPr="00C8585B" w14:paraId="78DF65B9" w14:textId="77777777" w:rsidTr="00C8585B">
        <w:trPr>
          <w:trHeight w:val="525"/>
        </w:trPr>
        <w:tc>
          <w:tcPr>
            <w:tcW w:w="5800" w:type="dxa"/>
            <w:tcBorders>
              <w:top w:val="nil"/>
              <w:left w:val="single" w:sz="8" w:space="0" w:color="000000"/>
              <w:bottom w:val="single" w:sz="8" w:space="0" w:color="000000"/>
              <w:right w:val="nil"/>
            </w:tcBorders>
            <w:shd w:val="clear" w:color="000000" w:fill="FFFFFF"/>
            <w:vAlign w:val="center"/>
            <w:hideMark/>
          </w:tcPr>
          <w:p w14:paraId="299FA100" w14:textId="6511B710" w:rsidR="00C8585B" w:rsidRPr="00C8585B" w:rsidRDefault="00C8585B" w:rsidP="00C8585B">
            <w:pPr>
              <w:spacing w:after="0" w:line="240" w:lineRule="auto"/>
              <w:rPr>
                <w:rFonts w:ascii="Segoe UI" w:eastAsia="Times New Roman" w:hAnsi="Segoe UI" w:cs="Segoe UI"/>
                <w:b/>
                <w:bCs/>
                <w:color w:val="0D0D0D"/>
                <w:sz w:val="19"/>
                <w:szCs w:val="19"/>
              </w:rPr>
            </w:pPr>
            <w:r w:rsidRPr="00C8585B">
              <w:rPr>
                <w:rFonts w:ascii="Segoe UI" w:eastAsia="Times New Roman" w:hAnsi="Segoe UI" w:cs="Segoe UI"/>
                <w:b/>
                <w:bCs/>
                <w:color w:val="0D0D0D"/>
                <w:sz w:val="19"/>
                <w:szCs w:val="19"/>
              </w:rPr>
              <w:t>EDR Tools</w:t>
            </w:r>
          </w:p>
        </w:tc>
        <w:tc>
          <w:tcPr>
            <w:tcW w:w="4920" w:type="dxa"/>
            <w:tcBorders>
              <w:top w:val="nil"/>
              <w:left w:val="single" w:sz="8" w:space="0" w:color="000000"/>
              <w:bottom w:val="single" w:sz="8" w:space="0" w:color="000000"/>
              <w:right w:val="single" w:sz="8" w:space="0" w:color="000000"/>
            </w:tcBorders>
            <w:shd w:val="clear" w:color="000000" w:fill="FFFFFF"/>
            <w:vAlign w:val="center"/>
            <w:hideMark/>
          </w:tcPr>
          <w:p w14:paraId="6BF032F2" w14:textId="77777777" w:rsidR="00C8585B" w:rsidRPr="00C8585B" w:rsidRDefault="00C8585B" w:rsidP="00C8585B">
            <w:pPr>
              <w:spacing w:after="0" w:line="240" w:lineRule="auto"/>
              <w:jc w:val="right"/>
              <w:rPr>
                <w:rFonts w:ascii="Segoe UI" w:eastAsia="Times New Roman" w:hAnsi="Segoe UI" w:cs="Segoe UI"/>
                <w:color w:val="0D0D0D"/>
                <w:sz w:val="19"/>
                <w:szCs w:val="19"/>
              </w:rPr>
            </w:pPr>
            <w:r w:rsidRPr="00C8585B">
              <w:rPr>
                <w:rFonts w:ascii="Segoe UI" w:eastAsia="Times New Roman" w:hAnsi="Segoe UI" w:cs="Segoe UI"/>
                <w:color w:val="0D0D0D"/>
                <w:sz w:val="19"/>
                <w:szCs w:val="19"/>
              </w:rPr>
              <w:t xml:space="preserve">$100,000 </w:t>
            </w:r>
          </w:p>
        </w:tc>
      </w:tr>
      <w:tr w:rsidR="00C8585B" w:rsidRPr="00C8585B" w14:paraId="6832053C" w14:textId="77777777" w:rsidTr="00C8585B">
        <w:trPr>
          <w:trHeight w:val="555"/>
        </w:trPr>
        <w:tc>
          <w:tcPr>
            <w:tcW w:w="5800" w:type="dxa"/>
            <w:tcBorders>
              <w:top w:val="nil"/>
              <w:left w:val="single" w:sz="8" w:space="0" w:color="000000"/>
              <w:bottom w:val="single" w:sz="8" w:space="0" w:color="000000"/>
              <w:right w:val="nil"/>
            </w:tcBorders>
            <w:shd w:val="clear" w:color="000000" w:fill="FFFFFF"/>
            <w:vAlign w:val="center"/>
            <w:hideMark/>
          </w:tcPr>
          <w:p w14:paraId="2D4E5522" w14:textId="77777777" w:rsidR="00C8585B" w:rsidRPr="00C8585B" w:rsidRDefault="00C8585B" w:rsidP="00C8585B">
            <w:pPr>
              <w:spacing w:after="0" w:line="240" w:lineRule="auto"/>
              <w:rPr>
                <w:rFonts w:ascii="Segoe UI" w:eastAsia="Times New Roman" w:hAnsi="Segoe UI" w:cs="Segoe UI"/>
                <w:b/>
                <w:bCs/>
                <w:color w:val="0D0D0D"/>
                <w:sz w:val="19"/>
                <w:szCs w:val="19"/>
              </w:rPr>
            </w:pPr>
            <w:r w:rsidRPr="00C8585B">
              <w:rPr>
                <w:rFonts w:ascii="Segoe UI" w:eastAsia="Times New Roman" w:hAnsi="Segoe UI" w:cs="Segoe UI"/>
                <w:b/>
                <w:bCs/>
                <w:color w:val="0D0D0D"/>
                <w:sz w:val="19"/>
                <w:szCs w:val="19"/>
              </w:rPr>
              <w:t>Network Monitoring Tools</w:t>
            </w:r>
          </w:p>
        </w:tc>
        <w:tc>
          <w:tcPr>
            <w:tcW w:w="4920" w:type="dxa"/>
            <w:tcBorders>
              <w:top w:val="nil"/>
              <w:left w:val="single" w:sz="8" w:space="0" w:color="000000"/>
              <w:bottom w:val="single" w:sz="8" w:space="0" w:color="000000"/>
              <w:right w:val="single" w:sz="8" w:space="0" w:color="000000"/>
            </w:tcBorders>
            <w:shd w:val="clear" w:color="000000" w:fill="FFFFFF"/>
            <w:vAlign w:val="center"/>
            <w:hideMark/>
          </w:tcPr>
          <w:p w14:paraId="3124B49F" w14:textId="77777777" w:rsidR="00C8585B" w:rsidRPr="00C8585B" w:rsidRDefault="00C8585B" w:rsidP="00C8585B">
            <w:pPr>
              <w:spacing w:after="0" w:line="240" w:lineRule="auto"/>
              <w:jc w:val="right"/>
              <w:rPr>
                <w:rFonts w:ascii="Segoe UI" w:eastAsia="Times New Roman" w:hAnsi="Segoe UI" w:cs="Segoe UI"/>
                <w:color w:val="0D0D0D"/>
                <w:sz w:val="19"/>
                <w:szCs w:val="19"/>
              </w:rPr>
            </w:pPr>
            <w:r w:rsidRPr="00C8585B">
              <w:rPr>
                <w:rFonts w:ascii="Segoe UI" w:eastAsia="Times New Roman" w:hAnsi="Segoe UI" w:cs="Segoe UI"/>
                <w:color w:val="0D0D0D"/>
                <w:sz w:val="19"/>
                <w:szCs w:val="19"/>
              </w:rPr>
              <w:t xml:space="preserve">$80,000 </w:t>
            </w:r>
          </w:p>
        </w:tc>
      </w:tr>
      <w:tr w:rsidR="00C8585B" w:rsidRPr="00C8585B" w14:paraId="16A63228" w14:textId="77777777" w:rsidTr="00C8585B">
        <w:trPr>
          <w:trHeight w:val="495"/>
        </w:trPr>
        <w:tc>
          <w:tcPr>
            <w:tcW w:w="5800" w:type="dxa"/>
            <w:tcBorders>
              <w:top w:val="nil"/>
              <w:left w:val="single" w:sz="8" w:space="0" w:color="000000"/>
              <w:bottom w:val="single" w:sz="8" w:space="0" w:color="000000"/>
              <w:right w:val="nil"/>
            </w:tcBorders>
            <w:shd w:val="clear" w:color="000000" w:fill="FFFFFF"/>
            <w:vAlign w:val="center"/>
            <w:hideMark/>
          </w:tcPr>
          <w:p w14:paraId="61FFC7F4" w14:textId="77777777" w:rsidR="00C8585B" w:rsidRPr="00C8585B" w:rsidRDefault="00C8585B" w:rsidP="00C8585B">
            <w:pPr>
              <w:spacing w:after="0" w:line="240" w:lineRule="auto"/>
              <w:rPr>
                <w:rFonts w:ascii="Segoe UI" w:eastAsia="Times New Roman" w:hAnsi="Segoe UI" w:cs="Segoe UI"/>
                <w:b/>
                <w:bCs/>
                <w:color w:val="0D0D0D"/>
                <w:sz w:val="19"/>
                <w:szCs w:val="19"/>
              </w:rPr>
            </w:pPr>
            <w:r w:rsidRPr="00C8585B">
              <w:rPr>
                <w:rFonts w:ascii="Segoe UI" w:eastAsia="Times New Roman" w:hAnsi="Segoe UI" w:cs="Segoe UI"/>
                <w:b/>
                <w:bCs/>
                <w:color w:val="0D0D0D"/>
                <w:sz w:val="19"/>
                <w:szCs w:val="19"/>
              </w:rPr>
              <w:t>Forensic Analysis Tools</w:t>
            </w:r>
          </w:p>
        </w:tc>
        <w:tc>
          <w:tcPr>
            <w:tcW w:w="4920" w:type="dxa"/>
            <w:tcBorders>
              <w:top w:val="nil"/>
              <w:left w:val="single" w:sz="8" w:space="0" w:color="000000"/>
              <w:bottom w:val="single" w:sz="8" w:space="0" w:color="000000"/>
              <w:right w:val="single" w:sz="8" w:space="0" w:color="000000"/>
            </w:tcBorders>
            <w:shd w:val="clear" w:color="000000" w:fill="FFFFFF"/>
            <w:vAlign w:val="center"/>
            <w:hideMark/>
          </w:tcPr>
          <w:p w14:paraId="2CA6D0D4" w14:textId="77777777" w:rsidR="00C8585B" w:rsidRPr="00C8585B" w:rsidRDefault="00C8585B" w:rsidP="00C8585B">
            <w:pPr>
              <w:spacing w:after="0" w:line="240" w:lineRule="auto"/>
              <w:jc w:val="right"/>
              <w:rPr>
                <w:rFonts w:ascii="Segoe UI" w:eastAsia="Times New Roman" w:hAnsi="Segoe UI" w:cs="Segoe UI"/>
                <w:color w:val="0D0D0D"/>
                <w:sz w:val="19"/>
                <w:szCs w:val="19"/>
              </w:rPr>
            </w:pPr>
            <w:r w:rsidRPr="00C8585B">
              <w:rPr>
                <w:rFonts w:ascii="Segoe UI" w:eastAsia="Times New Roman" w:hAnsi="Segoe UI" w:cs="Segoe UI"/>
                <w:color w:val="0D0D0D"/>
                <w:sz w:val="19"/>
                <w:szCs w:val="19"/>
              </w:rPr>
              <w:t xml:space="preserve">$70,000 </w:t>
            </w:r>
          </w:p>
        </w:tc>
      </w:tr>
      <w:tr w:rsidR="00C8585B" w:rsidRPr="00C8585B" w14:paraId="0FA606CE" w14:textId="77777777" w:rsidTr="00C8585B">
        <w:trPr>
          <w:trHeight w:val="465"/>
        </w:trPr>
        <w:tc>
          <w:tcPr>
            <w:tcW w:w="5800" w:type="dxa"/>
            <w:tcBorders>
              <w:top w:val="nil"/>
              <w:left w:val="single" w:sz="8" w:space="0" w:color="000000"/>
              <w:bottom w:val="single" w:sz="8" w:space="0" w:color="000000"/>
              <w:right w:val="nil"/>
            </w:tcBorders>
            <w:shd w:val="clear" w:color="000000" w:fill="FFFFFF"/>
            <w:vAlign w:val="center"/>
            <w:hideMark/>
          </w:tcPr>
          <w:p w14:paraId="00DED38B" w14:textId="77777777" w:rsidR="00C8585B" w:rsidRPr="00C8585B" w:rsidRDefault="00C8585B" w:rsidP="00C8585B">
            <w:pPr>
              <w:spacing w:after="0" w:line="240" w:lineRule="auto"/>
              <w:rPr>
                <w:rFonts w:ascii="Segoe UI" w:eastAsia="Times New Roman" w:hAnsi="Segoe UI" w:cs="Segoe UI"/>
                <w:b/>
                <w:bCs/>
                <w:color w:val="0D0D0D"/>
                <w:sz w:val="19"/>
                <w:szCs w:val="19"/>
              </w:rPr>
            </w:pPr>
            <w:r w:rsidRPr="00C8585B">
              <w:rPr>
                <w:rFonts w:ascii="Segoe UI" w:eastAsia="Times New Roman" w:hAnsi="Segoe UI" w:cs="Segoe UI"/>
                <w:b/>
                <w:bCs/>
                <w:color w:val="0D0D0D"/>
                <w:sz w:val="19"/>
                <w:szCs w:val="19"/>
              </w:rPr>
              <w:t>Threat Hunting Platforms</w:t>
            </w:r>
          </w:p>
        </w:tc>
        <w:tc>
          <w:tcPr>
            <w:tcW w:w="4920" w:type="dxa"/>
            <w:tcBorders>
              <w:top w:val="nil"/>
              <w:left w:val="single" w:sz="8" w:space="0" w:color="000000"/>
              <w:bottom w:val="single" w:sz="8" w:space="0" w:color="000000"/>
              <w:right w:val="single" w:sz="8" w:space="0" w:color="000000"/>
            </w:tcBorders>
            <w:shd w:val="clear" w:color="000000" w:fill="FFFFFF"/>
            <w:vAlign w:val="center"/>
            <w:hideMark/>
          </w:tcPr>
          <w:p w14:paraId="7F663902" w14:textId="77777777" w:rsidR="00C8585B" w:rsidRPr="00C8585B" w:rsidRDefault="00C8585B" w:rsidP="00C8585B">
            <w:pPr>
              <w:spacing w:after="0" w:line="240" w:lineRule="auto"/>
              <w:jc w:val="right"/>
              <w:rPr>
                <w:rFonts w:ascii="Segoe UI" w:eastAsia="Times New Roman" w:hAnsi="Segoe UI" w:cs="Segoe UI"/>
                <w:color w:val="0D0D0D"/>
                <w:sz w:val="19"/>
                <w:szCs w:val="19"/>
              </w:rPr>
            </w:pPr>
            <w:r w:rsidRPr="00C8585B">
              <w:rPr>
                <w:rFonts w:ascii="Segoe UI" w:eastAsia="Times New Roman" w:hAnsi="Segoe UI" w:cs="Segoe UI"/>
                <w:color w:val="0D0D0D"/>
                <w:sz w:val="19"/>
                <w:szCs w:val="19"/>
              </w:rPr>
              <w:t xml:space="preserve">$90,000 </w:t>
            </w:r>
          </w:p>
        </w:tc>
      </w:tr>
      <w:tr w:rsidR="00C8585B" w:rsidRPr="00C8585B" w14:paraId="41D34597" w14:textId="77777777" w:rsidTr="00C8585B">
        <w:trPr>
          <w:trHeight w:val="480"/>
        </w:trPr>
        <w:tc>
          <w:tcPr>
            <w:tcW w:w="5800" w:type="dxa"/>
            <w:tcBorders>
              <w:top w:val="nil"/>
              <w:left w:val="single" w:sz="8" w:space="0" w:color="000000"/>
              <w:bottom w:val="single" w:sz="8" w:space="0" w:color="000000"/>
              <w:right w:val="nil"/>
            </w:tcBorders>
            <w:shd w:val="clear" w:color="000000" w:fill="FFFFFF"/>
            <w:vAlign w:val="center"/>
            <w:hideMark/>
          </w:tcPr>
          <w:p w14:paraId="6F5FBC43" w14:textId="6795E238" w:rsidR="00C8585B" w:rsidRPr="00C8585B" w:rsidRDefault="00C8585B" w:rsidP="00C8585B">
            <w:pPr>
              <w:spacing w:after="0" w:line="240" w:lineRule="auto"/>
              <w:rPr>
                <w:rFonts w:ascii="Segoe UI" w:eastAsia="Times New Roman" w:hAnsi="Segoe UI" w:cs="Segoe UI"/>
                <w:b/>
                <w:bCs/>
                <w:color w:val="0D0D0D"/>
                <w:sz w:val="19"/>
                <w:szCs w:val="19"/>
              </w:rPr>
            </w:pPr>
            <w:r w:rsidRPr="00C8585B">
              <w:rPr>
                <w:rFonts w:ascii="Segoe UI" w:eastAsia="Times New Roman" w:hAnsi="Segoe UI" w:cs="Segoe UI"/>
                <w:b/>
                <w:bCs/>
                <w:color w:val="0D0D0D"/>
                <w:sz w:val="19"/>
                <w:szCs w:val="19"/>
              </w:rPr>
              <w:t xml:space="preserve">Consulting Services (If </w:t>
            </w:r>
            <w:r w:rsidR="000A60DF" w:rsidRPr="00C8585B">
              <w:rPr>
                <w:rFonts w:ascii="Segoe UI" w:eastAsia="Times New Roman" w:hAnsi="Segoe UI" w:cs="Segoe UI"/>
                <w:b/>
                <w:bCs/>
                <w:color w:val="0D0D0D"/>
                <w:sz w:val="19"/>
                <w:szCs w:val="19"/>
              </w:rPr>
              <w:t>Necessary</w:t>
            </w:r>
            <w:r w:rsidRPr="00C8585B">
              <w:rPr>
                <w:rFonts w:ascii="Segoe UI" w:eastAsia="Times New Roman" w:hAnsi="Segoe UI" w:cs="Segoe UI"/>
                <w:b/>
                <w:bCs/>
                <w:color w:val="0D0D0D"/>
                <w:sz w:val="19"/>
                <w:szCs w:val="19"/>
              </w:rPr>
              <w:t>)</w:t>
            </w:r>
          </w:p>
        </w:tc>
        <w:tc>
          <w:tcPr>
            <w:tcW w:w="4920" w:type="dxa"/>
            <w:tcBorders>
              <w:top w:val="nil"/>
              <w:left w:val="single" w:sz="8" w:space="0" w:color="000000"/>
              <w:bottom w:val="single" w:sz="8" w:space="0" w:color="000000"/>
              <w:right w:val="single" w:sz="8" w:space="0" w:color="000000"/>
            </w:tcBorders>
            <w:shd w:val="clear" w:color="000000" w:fill="FFFFFF"/>
            <w:vAlign w:val="center"/>
            <w:hideMark/>
          </w:tcPr>
          <w:p w14:paraId="46C655B8" w14:textId="77777777" w:rsidR="00C8585B" w:rsidRPr="00C8585B" w:rsidRDefault="00C8585B" w:rsidP="00C8585B">
            <w:pPr>
              <w:spacing w:after="0" w:line="240" w:lineRule="auto"/>
              <w:jc w:val="right"/>
              <w:rPr>
                <w:rFonts w:ascii="Segoe UI" w:eastAsia="Times New Roman" w:hAnsi="Segoe UI" w:cs="Segoe UI"/>
                <w:color w:val="0D0D0D"/>
                <w:sz w:val="19"/>
                <w:szCs w:val="19"/>
              </w:rPr>
            </w:pPr>
            <w:r w:rsidRPr="00C8585B">
              <w:rPr>
                <w:rFonts w:ascii="Segoe UI" w:eastAsia="Times New Roman" w:hAnsi="Segoe UI" w:cs="Segoe UI"/>
                <w:color w:val="0D0D0D"/>
                <w:sz w:val="19"/>
                <w:szCs w:val="19"/>
              </w:rPr>
              <w:t xml:space="preserve">$60,000 </w:t>
            </w:r>
          </w:p>
        </w:tc>
      </w:tr>
      <w:tr w:rsidR="00C8585B" w:rsidRPr="00C8585B" w14:paraId="0B09A21F" w14:textId="77777777" w:rsidTr="00C8585B">
        <w:trPr>
          <w:trHeight w:val="495"/>
        </w:trPr>
        <w:tc>
          <w:tcPr>
            <w:tcW w:w="5800" w:type="dxa"/>
            <w:tcBorders>
              <w:top w:val="nil"/>
              <w:left w:val="single" w:sz="8" w:space="0" w:color="000000"/>
              <w:bottom w:val="single" w:sz="8" w:space="0" w:color="000000"/>
              <w:right w:val="nil"/>
            </w:tcBorders>
            <w:shd w:val="clear" w:color="000000" w:fill="FFFFFF"/>
            <w:vAlign w:val="center"/>
            <w:hideMark/>
          </w:tcPr>
          <w:p w14:paraId="61219236" w14:textId="77777777" w:rsidR="00C8585B" w:rsidRPr="00C8585B" w:rsidRDefault="00C8585B" w:rsidP="00C8585B">
            <w:pPr>
              <w:spacing w:after="0" w:line="240" w:lineRule="auto"/>
              <w:rPr>
                <w:rFonts w:ascii="Segoe UI" w:eastAsia="Times New Roman" w:hAnsi="Segoe UI" w:cs="Segoe UI"/>
                <w:b/>
                <w:bCs/>
                <w:color w:val="0D0D0D"/>
                <w:sz w:val="19"/>
                <w:szCs w:val="19"/>
              </w:rPr>
            </w:pPr>
            <w:r w:rsidRPr="00C8585B">
              <w:rPr>
                <w:rFonts w:ascii="Segoe UI" w:eastAsia="Times New Roman" w:hAnsi="Segoe UI" w:cs="Segoe UI"/>
                <w:b/>
                <w:bCs/>
                <w:color w:val="0D0D0D"/>
                <w:sz w:val="19"/>
                <w:szCs w:val="19"/>
              </w:rPr>
              <w:t>Incident Response Tools</w:t>
            </w:r>
          </w:p>
        </w:tc>
        <w:tc>
          <w:tcPr>
            <w:tcW w:w="4920" w:type="dxa"/>
            <w:tcBorders>
              <w:top w:val="nil"/>
              <w:left w:val="single" w:sz="8" w:space="0" w:color="000000"/>
              <w:bottom w:val="single" w:sz="8" w:space="0" w:color="000000"/>
              <w:right w:val="single" w:sz="8" w:space="0" w:color="000000"/>
            </w:tcBorders>
            <w:shd w:val="clear" w:color="000000" w:fill="FFFFFF"/>
            <w:vAlign w:val="center"/>
            <w:hideMark/>
          </w:tcPr>
          <w:p w14:paraId="5FF31215" w14:textId="77777777" w:rsidR="00C8585B" w:rsidRPr="00C8585B" w:rsidRDefault="00C8585B" w:rsidP="00C8585B">
            <w:pPr>
              <w:spacing w:after="0" w:line="240" w:lineRule="auto"/>
              <w:jc w:val="right"/>
              <w:rPr>
                <w:rFonts w:ascii="Segoe UI" w:eastAsia="Times New Roman" w:hAnsi="Segoe UI" w:cs="Segoe UI"/>
                <w:color w:val="0D0D0D"/>
                <w:sz w:val="19"/>
                <w:szCs w:val="19"/>
              </w:rPr>
            </w:pPr>
            <w:r w:rsidRPr="00C8585B">
              <w:rPr>
                <w:rFonts w:ascii="Segoe UI" w:eastAsia="Times New Roman" w:hAnsi="Segoe UI" w:cs="Segoe UI"/>
                <w:color w:val="0D0D0D"/>
                <w:sz w:val="19"/>
                <w:szCs w:val="19"/>
              </w:rPr>
              <w:t xml:space="preserve">$50,000 </w:t>
            </w:r>
          </w:p>
        </w:tc>
      </w:tr>
      <w:tr w:rsidR="00C8585B" w:rsidRPr="00C8585B" w14:paraId="2BBDBDA8" w14:textId="77777777" w:rsidTr="00C8585B">
        <w:trPr>
          <w:trHeight w:val="510"/>
        </w:trPr>
        <w:tc>
          <w:tcPr>
            <w:tcW w:w="5800" w:type="dxa"/>
            <w:tcBorders>
              <w:top w:val="nil"/>
              <w:left w:val="single" w:sz="8" w:space="0" w:color="000000"/>
              <w:bottom w:val="single" w:sz="8" w:space="0" w:color="000000"/>
              <w:right w:val="nil"/>
            </w:tcBorders>
            <w:shd w:val="clear" w:color="000000" w:fill="FFFFFF"/>
            <w:vAlign w:val="center"/>
            <w:hideMark/>
          </w:tcPr>
          <w:p w14:paraId="0B9D47B9" w14:textId="77777777" w:rsidR="00C8585B" w:rsidRPr="00C8585B" w:rsidRDefault="00C8585B" w:rsidP="00C8585B">
            <w:pPr>
              <w:spacing w:after="0" w:line="240" w:lineRule="auto"/>
              <w:rPr>
                <w:rFonts w:ascii="Segoe UI" w:eastAsia="Times New Roman" w:hAnsi="Segoe UI" w:cs="Segoe UI"/>
                <w:b/>
                <w:bCs/>
                <w:color w:val="0D0D0D"/>
                <w:sz w:val="19"/>
                <w:szCs w:val="19"/>
              </w:rPr>
            </w:pPr>
            <w:r w:rsidRPr="00C8585B">
              <w:rPr>
                <w:rFonts w:ascii="Segoe UI" w:eastAsia="Times New Roman" w:hAnsi="Segoe UI" w:cs="Segoe UI"/>
                <w:b/>
                <w:bCs/>
                <w:color w:val="0D0D0D"/>
                <w:sz w:val="19"/>
                <w:szCs w:val="19"/>
              </w:rPr>
              <w:t>Office Supplies Expenses</w:t>
            </w:r>
          </w:p>
        </w:tc>
        <w:tc>
          <w:tcPr>
            <w:tcW w:w="4920" w:type="dxa"/>
            <w:tcBorders>
              <w:top w:val="nil"/>
              <w:left w:val="single" w:sz="8" w:space="0" w:color="000000"/>
              <w:bottom w:val="single" w:sz="8" w:space="0" w:color="000000"/>
              <w:right w:val="single" w:sz="8" w:space="0" w:color="000000"/>
            </w:tcBorders>
            <w:shd w:val="clear" w:color="000000" w:fill="FFFFFF"/>
            <w:vAlign w:val="center"/>
            <w:hideMark/>
          </w:tcPr>
          <w:p w14:paraId="2BD52A1F" w14:textId="77777777" w:rsidR="00C8585B" w:rsidRPr="00C8585B" w:rsidRDefault="00C8585B" w:rsidP="00C8585B">
            <w:pPr>
              <w:spacing w:after="0" w:line="240" w:lineRule="auto"/>
              <w:jc w:val="right"/>
              <w:rPr>
                <w:rFonts w:ascii="Segoe UI" w:eastAsia="Times New Roman" w:hAnsi="Segoe UI" w:cs="Segoe UI"/>
                <w:color w:val="0D0D0D"/>
                <w:sz w:val="19"/>
                <w:szCs w:val="19"/>
              </w:rPr>
            </w:pPr>
            <w:r w:rsidRPr="00C8585B">
              <w:rPr>
                <w:rFonts w:ascii="Segoe UI" w:eastAsia="Times New Roman" w:hAnsi="Segoe UI" w:cs="Segoe UI"/>
                <w:color w:val="0D0D0D"/>
                <w:sz w:val="19"/>
                <w:szCs w:val="19"/>
              </w:rPr>
              <w:t xml:space="preserve">$20,000 </w:t>
            </w:r>
          </w:p>
        </w:tc>
      </w:tr>
      <w:tr w:rsidR="00C8585B" w:rsidRPr="00C8585B" w14:paraId="3875E7C8" w14:textId="77777777" w:rsidTr="00C8585B">
        <w:trPr>
          <w:trHeight w:val="585"/>
        </w:trPr>
        <w:tc>
          <w:tcPr>
            <w:tcW w:w="5800" w:type="dxa"/>
            <w:tcBorders>
              <w:top w:val="nil"/>
              <w:left w:val="single" w:sz="8" w:space="0" w:color="000000"/>
              <w:bottom w:val="single" w:sz="8" w:space="0" w:color="000000"/>
              <w:right w:val="nil"/>
            </w:tcBorders>
            <w:shd w:val="clear" w:color="000000" w:fill="FFFFFF"/>
            <w:vAlign w:val="center"/>
            <w:hideMark/>
          </w:tcPr>
          <w:p w14:paraId="29219A11" w14:textId="77777777" w:rsidR="00C8585B" w:rsidRPr="00C8585B" w:rsidRDefault="00C8585B" w:rsidP="00C8585B">
            <w:pPr>
              <w:spacing w:after="0" w:line="240" w:lineRule="auto"/>
              <w:rPr>
                <w:rFonts w:ascii="Segoe UI" w:eastAsia="Times New Roman" w:hAnsi="Segoe UI" w:cs="Segoe UI"/>
                <w:b/>
                <w:bCs/>
                <w:color w:val="0D0D0D"/>
                <w:sz w:val="19"/>
                <w:szCs w:val="19"/>
              </w:rPr>
            </w:pPr>
            <w:r w:rsidRPr="00C8585B">
              <w:rPr>
                <w:rFonts w:ascii="Segoe UI" w:eastAsia="Times New Roman" w:hAnsi="Segoe UI" w:cs="Segoe UI"/>
                <w:b/>
                <w:bCs/>
                <w:color w:val="0D0D0D"/>
                <w:sz w:val="19"/>
                <w:szCs w:val="19"/>
              </w:rPr>
              <w:t>Total Cost</w:t>
            </w:r>
          </w:p>
        </w:tc>
        <w:tc>
          <w:tcPr>
            <w:tcW w:w="4920" w:type="dxa"/>
            <w:tcBorders>
              <w:top w:val="nil"/>
              <w:left w:val="single" w:sz="8" w:space="0" w:color="000000"/>
              <w:bottom w:val="single" w:sz="8" w:space="0" w:color="000000"/>
              <w:right w:val="single" w:sz="8" w:space="0" w:color="000000"/>
            </w:tcBorders>
            <w:shd w:val="clear" w:color="000000" w:fill="FFFFFF"/>
            <w:vAlign w:val="center"/>
            <w:hideMark/>
          </w:tcPr>
          <w:p w14:paraId="09205552" w14:textId="77777777" w:rsidR="00C8585B" w:rsidRPr="00C8585B" w:rsidRDefault="00C8585B" w:rsidP="00C8585B">
            <w:pPr>
              <w:spacing w:after="0" w:line="240" w:lineRule="auto"/>
              <w:jc w:val="right"/>
              <w:rPr>
                <w:rFonts w:ascii="Segoe UI" w:eastAsia="Times New Roman" w:hAnsi="Segoe UI" w:cs="Segoe UI"/>
                <w:b/>
                <w:bCs/>
                <w:color w:val="0D0D0D"/>
                <w:sz w:val="19"/>
                <w:szCs w:val="19"/>
              </w:rPr>
            </w:pPr>
            <w:r w:rsidRPr="00C8585B">
              <w:rPr>
                <w:rFonts w:ascii="Segoe UI" w:eastAsia="Times New Roman" w:hAnsi="Segoe UI" w:cs="Segoe UI"/>
                <w:b/>
                <w:bCs/>
                <w:color w:val="0D0D0D"/>
                <w:sz w:val="19"/>
                <w:szCs w:val="19"/>
              </w:rPr>
              <w:t xml:space="preserve">$1,210,000 </w:t>
            </w:r>
          </w:p>
        </w:tc>
      </w:tr>
    </w:tbl>
    <w:p w14:paraId="054D6F6C" w14:textId="77777777" w:rsidR="008E2F73" w:rsidRDefault="008E2F73" w:rsidP="004411FA"/>
    <w:p w14:paraId="14643F62" w14:textId="77777777" w:rsidR="003930CF" w:rsidRDefault="003930CF"/>
    <w:sdt>
      <w:sdtPr>
        <w:rPr>
          <w:rFonts w:asciiTheme="minorHAnsi" w:eastAsiaTheme="minorEastAsia" w:hAnsiTheme="minorHAnsi" w:cstheme="minorBidi"/>
          <w:color w:val="auto"/>
          <w:sz w:val="21"/>
          <w:szCs w:val="21"/>
        </w:rPr>
        <w:id w:val="689568197"/>
        <w:docPartObj>
          <w:docPartGallery w:val="Bibliographies"/>
          <w:docPartUnique/>
        </w:docPartObj>
      </w:sdtPr>
      <w:sdtContent>
        <w:p w14:paraId="5FA3024C" w14:textId="057E63CB" w:rsidR="00A749FC" w:rsidRDefault="00A749FC">
          <w:pPr>
            <w:pStyle w:val="Heading1"/>
          </w:pPr>
        </w:p>
        <w:sdt>
          <w:sdtPr>
            <w:id w:val="-573587230"/>
            <w:bibliography/>
          </w:sdtPr>
          <w:sdtContent>
            <w:p w14:paraId="4CF06971" w14:textId="54D45797" w:rsidR="00DA44D4" w:rsidRDefault="00DA44D4" w:rsidP="00DA44D4">
              <w:pPr>
                <w:pStyle w:val="Bibliography"/>
              </w:pPr>
            </w:p>
            <w:p w14:paraId="25A3DC67" w14:textId="3C78DE76" w:rsidR="007769DE" w:rsidRDefault="00000000"/>
          </w:sdtContent>
        </w:sdt>
      </w:sdtContent>
    </w:sdt>
    <w:sectPr w:rsidR="007769DE">
      <w:headerReference w:type="even" r:id="rId10"/>
      <w:headerReference w:type="default" r:id="rId11"/>
      <w:foot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C88C4" w14:textId="77777777" w:rsidR="006E092C" w:rsidRDefault="006E092C" w:rsidP="004411FA">
      <w:pPr>
        <w:spacing w:after="0" w:line="240" w:lineRule="auto"/>
      </w:pPr>
      <w:r>
        <w:separator/>
      </w:r>
    </w:p>
  </w:endnote>
  <w:endnote w:type="continuationSeparator" w:id="0">
    <w:p w14:paraId="29C22CB5" w14:textId="77777777" w:rsidR="006E092C" w:rsidRDefault="006E092C" w:rsidP="00441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9031679"/>
      <w:docPartObj>
        <w:docPartGallery w:val="Page Numbers (Bottom of Page)"/>
        <w:docPartUnique/>
      </w:docPartObj>
    </w:sdtPr>
    <w:sdtEndPr>
      <w:rPr>
        <w:noProof/>
      </w:rPr>
    </w:sdtEndPr>
    <w:sdtContent>
      <w:p w14:paraId="4D526C81" w14:textId="4D659AF4" w:rsidR="002C61B4" w:rsidRDefault="002C61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CC6D72" w14:textId="77777777" w:rsidR="002C61B4" w:rsidRDefault="002C61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FB198" w14:textId="77777777" w:rsidR="006E092C" w:rsidRDefault="006E092C" w:rsidP="004411FA">
      <w:pPr>
        <w:spacing w:after="0" w:line="240" w:lineRule="auto"/>
      </w:pPr>
      <w:r>
        <w:separator/>
      </w:r>
    </w:p>
  </w:footnote>
  <w:footnote w:type="continuationSeparator" w:id="0">
    <w:p w14:paraId="1574A512" w14:textId="77777777" w:rsidR="006E092C" w:rsidRDefault="006E092C" w:rsidP="004411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CC1F" w14:textId="31B15D63" w:rsidR="00EE478B" w:rsidRDefault="00000000">
    <w:pPr>
      <w:pStyle w:val="Header"/>
    </w:pPr>
    <w:r>
      <w:rPr>
        <w:noProof/>
      </w:rPr>
      <w:pict w14:anchorId="7C585E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83188" o:spid="_x0000_s1039" type="#_x0000_t75" style="position:absolute;margin-left:0;margin-top:0;width:939pt;height:625.5pt;z-index:-251657216;mso-position-horizontal:center;mso-position-horizontal-relative:margin;mso-position-vertical:center;mso-position-vertical-relative:margin" o:allowincell="f">
          <v:imagedata r:id="rId1" o:title="dark lock (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DDAE" w14:textId="4427F5A3" w:rsidR="009A6312" w:rsidRPr="004411FA" w:rsidRDefault="00384522" w:rsidP="009A6312">
    <w:pPr>
      <w:jc w:val="center"/>
      <w:rPr>
        <w:b/>
        <w:bCs/>
      </w:rPr>
    </w:pPr>
    <w:r>
      <w:rPr>
        <w:b/>
        <w:bCs/>
      </w:rPr>
      <w:t xml:space="preserve">Omazon </w:t>
    </w:r>
    <w:r w:rsidR="009A6312" w:rsidRPr="004411FA">
      <w:rPr>
        <w:b/>
        <w:bCs/>
      </w:rPr>
      <w:t xml:space="preserve">Threat Hunting </w:t>
    </w:r>
    <w:r w:rsidR="00FD53F0">
      <w:rPr>
        <w:b/>
        <w:bCs/>
      </w:rPr>
      <w:t>Governance</w:t>
    </w:r>
  </w:p>
  <w:p w14:paraId="646128D7" w14:textId="651FF68C" w:rsidR="004411FA" w:rsidRDefault="00000000" w:rsidP="009A6312">
    <w:pPr>
      <w:pStyle w:val="Header"/>
      <w:jc w:val="center"/>
    </w:pPr>
    <w:r>
      <w:rPr>
        <w:noProof/>
      </w:rPr>
      <w:pict w14:anchorId="16423B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83189" o:spid="_x0000_s1040" type="#_x0000_t75" style="position:absolute;left:0;text-align:left;margin-left:0;margin-top:0;width:939pt;height:625.5pt;z-index:-251656192;mso-position-horizontal:center;mso-position-horizontal-relative:margin;mso-position-vertical:center;mso-position-vertical-relative:margin" o:allowincell="f">
          <v:imagedata r:id="rId1" o:title="dark lock (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28FE8" w14:textId="57BB4015" w:rsidR="00EE478B" w:rsidRDefault="00000000">
    <w:pPr>
      <w:pStyle w:val="Header"/>
    </w:pPr>
    <w:r>
      <w:rPr>
        <w:noProof/>
      </w:rPr>
      <w:pict w14:anchorId="45964A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83187" o:spid="_x0000_s1038" type="#_x0000_t75" style="position:absolute;margin-left:0;margin-top:0;width:939pt;height:625.5pt;z-index:-251658240;mso-position-horizontal:center;mso-position-horizontal-relative:margin;mso-position-vertical:center;mso-position-vertical-relative:margin" o:allowincell="f">
          <v:imagedata r:id="rId1" o:title="dark lock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073"/>
    <w:multiLevelType w:val="multilevel"/>
    <w:tmpl w:val="31E0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3B6A2F"/>
    <w:multiLevelType w:val="multilevel"/>
    <w:tmpl w:val="D93A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525B6F"/>
    <w:multiLevelType w:val="hybridMultilevel"/>
    <w:tmpl w:val="D91E0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902E6F"/>
    <w:multiLevelType w:val="hybridMultilevel"/>
    <w:tmpl w:val="154ED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C22B2C"/>
    <w:multiLevelType w:val="multilevel"/>
    <w:tmpl w:val="E0D25F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59327E"/>
    <w:multiLevelType w:val="multilevel"/>
    <w:tmpl w:val="8F74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BC192A"/>
    <w:multiLevelType w:val="multilevel"/>
    <w:tmpl w:val="4B8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DC518D"/>
    <w:multiLevelType w:val="hybridMultilevel"/>
    <w:tmpl w:val="9AE27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774966">
    <w:abstractNumId w:val="6"/>
  </w:num>
  <w:num w:numId="2" w16cid:durableId="204295606">
    <w:abstractNumId w:val="5"/>
  </w:num>
  <w:num w:numId="3" w16cid:durableId="1982536431">
    <w:abstractNumId w:val="4"/>
  </w:num>
  <w:num w:numId="4" w16cid:durableId="1981686311">
    <w:abstractNumId w:val="1"/>
  </w:num>
  <w:num w:numId="5" w16cid:durableId="1636568836">
    <w:abstractNumId w:val="0"/>
  </w:num>
  <w:num w:numId="6" w16cid:durableId="1359043784">
    <w:abstractNumId w:val="3"/>
  </w:num>
  <w:num w:numId="7" w16cid:durableId="2026708647">
    <w:abstractNumId w:val="2"/>
  </w:num>
  <w:num w:numId="8" w16cid:durableId="10044360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1FA"/>
    <w:rsid w:val="0001674A"/>
    <w:rsid w:val="00035BDF"/>
    <w:rsid w:val="00036091"/>
    <w:rsid w:val="00046B83"/>
    <w:rsid w:val="000672B0"/>
    <w:rsid w:val="0008602B"/>
    <w:rsid w:val="000874CB"/>
    <w:rsid w:val="000A2EB8"/>
    <w:rsid w:val="000A6090"/>
    <w:rsid w:val="000A60DF"/>
    <w:rsid w:val="000A67D5"/>
    <w:rsid w:val="000B1D5C"/>
    <w:rsid w:val="000C15E6"/>
    <w:rsid w:val="000D2220"/>
    <w:rsid w:val="000F28B3"/>
    <w:rsid w:val="0011050D"/>
    <w:rsid w:val="00111D11"/>
    <w:rsid w:val="00115175"/>
    <w:rsid w:val="00144E1B"/>
    <w:rsid w:val="00146BB9"/>
    <w:rsid w:val="0014781F"/>
    <w:rsid w:val="00167398"/>
    <w:rsid w:val="0017385F"/>
    <w:rsid w:val="00187CD6"/>
    <w:rsid w:val="001D09C6"/>
    <w:rsid w:val="001E0AD9"/>
    <w:rsid w:val="001E3DCE"/>
    <w:rsid w:val="001E40C4"/>
    <w:rsid w:val="00207998"/>
    <w:rsid w:val="00207B45"/>
    <w:rsid w:val="00210A0C"/>
    <w:rsid w:val="002120BB"/>
    <w:rsid w:val="00226F95"/>
    <w:rsid w:val="00247EE8"/>
    <w:rsid w:val="002513B5"/>
    <w:rsid w:val="00264512"/>
    <w:rsid w:val="002860E8"/>
    <w:rsid w:val="002945AF"/>
    <w:rsid w:val="002B5025"/>
    <w:rsid w:val="002C61B4"/>
    <w:rsid w:val="002F0A0E"/>
    <w:rsid w:val="00325A20"/>
    <w:rsid w:val="00360E78"/>
    <w:rsid w:val="00365ABA"/>
    <w:rsid w:val="00384522"/>
    <w:rsid w:val="003930CF"/>
    <w:rsid w:val="00394924"/>
    <w:rsid w:val="003A2AA7"/>
    <w:rsid w:val="003C6EC6"/>
    <w:rsid w:val="00405131"/>
    <w:rsid w:val="00412058"/>
    <w:rsid w:val="00413D7B"/>
    <w:rsid w:val="004209C8"/>
    <w:rsid w:val="00424004"/>
    <w:rsid w:val="004264AF"/>
    <w:rsid w:val="004411FA"/>
    <w:rsid w:val="0046352B"/>
    <w:rsid w:val="00491C96"/>
    <w:rsid w:val="00494E41"/>
    <w:rsid w:val="004971D9"/>
    <w:rsid w:val="004A6361"/>
    <w:rsid w:val="004B586F"/>
    <w:rsid w:val="004E75BC"/>
    <w:rsid w:val="004F2D9A"/>
    <w:rsid w:val="00510B69"/>
    <w:rsid w:val="00512447"/>
    <w:rsid w:val="00516B09"/>
    <w:rsid w:val="00527190"/>
    <w:rsid w:val="005524D7"/>
    <w:rsid w:val="00574E80"/>
    <w:rsid w:val="005C25C3"/>
    <w:rsid w:val="005D7A6B"/>
    <w:rsid w:val="0062218B"/>
    <w:rsid w:val="006444E0"/>
    <w:rsid w:val="00665F9F"/>
    <w:rsid w:val="00675BF7"/>
    <w:rsid w:val="006935B9"/>
    <w:rsid w:val="006A0A67"/>
    <w:rsid w:val="006B530C"/>
    <w:rsid w:val="006E092C"/>
    <w:rsid w:val="00702439"/>
    <w:rsid w:val="00715A8F"/>
    <w:rsid w:val="00745FAD"/>
    <w:rsid w:val="007769DE"/>
    <w:rsid w:val="0078489F"/>
    <w:rsid w:val="00786A71"/>
    <w:rsid w:val="007A5DAC"/>
    <w:rsid w:val="007B2119"/>
    <w:rsid w:val="007C0E47"/>
    <w:rsid w:val="007C33E9"/>
    <w:rsid w:val="007D25D5"/>
    <w:rsid w:val="007E7F3F"/>
    <w:rsid w:val="00810155"/>
    <w:rsid w:val="008146C8"/>
    <w:rsid w:val="00831490"/>
    <w:rsid w:val="00872335"/>
    <w:rsid w:val="00877DFF"/>
    <w:rsid w:val="00883515"/>
    <w:rsid w:val="0089096E"/>
    <w:rsid w:val="00892489"/>
    <w:rsid w:val="00895BC4"/>
    <w:rsid w:val="008A2E71"/>
    <w:rsid w:val="008B0A2F"/>
    <w:rsid w:val="008C368F"/>
    <w:rsid w:val="008D173B"/>
    <w:rsid w:val="008E2F73"/>
    <w:rsid w:val="008F4DFD"/>
    <w:rsid w:val="008F56F0"/>
    <w:rsid w:val="00926D7A"/>
    <w:rsid w:val="00940E5D"/>
    <w:rsid w:val="00946B01"/>
    <w:rsid w:val="009726E9"/>
    <w:rsid w:val="00984553"/>
    <w:rsid w:val="009956FA"/>
    <w:rsid w:val="009A4961"/>
    <w:rsid w:val="009A6312"/>
    <w:rsid w:val="009C14A3"/>
    <w:rsid w:val="009E4C17"/>
    <w:rsid w:val="00A06572"/>
    <w:rsid w:val="00A15A0A"/>
    <w:rsid w:val="00A20262"/>
    <w:rsid w:val="00A23F54"/>
    <w:rsid w:val="00A32879"/>
    <w:rsid w:val="00A5189A"/>
    <w:rsid w:val="00A53300"/>
    <w:rsid w:val="00A60F5E"/>
    <w:rsid w:val="00A749FC"/>
    <w:rsid w:val="00A77123"/>
    <w:rsid w:val="00AA6598"/>
    <w:rsid w:val="00AB0AF1"/>
    <w:rsid w:val="00AB36A8"/>
    <w:rsid w:val="00B00C62"/>
    <w:rsid w:val="00B0762A"/>
    <w:rsid w:val="00B3311F"/>
    <w:rsid w:val="00B5007C"/>
    <w:rsid w:val="00B7172D"/>
    <w:rsid w:val="00BA3100"/>
    <w:rsid w:val="00BD33D6"/>
    <w:rsid w:val="00BE568E"/>
    <w:rsid w:val="00C0170B"/>
    <w:rsid w:val="00C15341"/>
    <w:rsid w:val="00C40999"/>
    <w:rsid w:val="00C61942"/>
    <w:rsid w:val="00C8585B"/>
    <w:rsid w:val="00CA1C97"/>
    <w:rsid w:val="00CB727B"/>
    <w:rsid w:val="00CB7398"/>
    <w:rsid w:val="00CC055A"/>
    <w:rsid w:val="00CC09B9"/>
    <w:rsid w:val="00CD7130"/>
    <w:rsid w:val="00CE0F60"/>
    <w:rsid w:val="00D34C4A"/>
    <w:rsid w:val="00D41DEC"/>
    <w:rsid w:val="00D81C74"/>
    <w:rsid w:val="00D91DAE"/>
    <w:rsid w:val="00DA44D4"/>
    <w:rsid w:val="00DA7AF7"/>
    <w:rsid w:val="00DB33E5"/>
    <w:rsid w:val="00E13F0A"/>
    <w:rsid w:val="00E14D6E"/>
    <w:rsid w:val="00E20341"/>
    <w:rsid w:val="00E32A7B"/>
    <w:rsid w:val="00E35242"/>
    <w:rsid w:val="00E40629"/>
    <w:rsid w:val="00E50473"/>
    <w:rsid w:val="00E53C19"/>
    <w:rsid w:val="00E97690"/>
    <w:rsid w:val="00EC2C59"/>
    <w:rsid w:val="00ED3B44"/>
    <w:rsid w:val="00ED3DF8"/>
    <w:rsid w:val="00EE249C"/>
    <w:rsid w:val="00EE478B"/>
    <w:rsid w:val="00EF3875"/>
    <w:rsid w:val="00F05B15"/>
    <w:rsid w:val="00F0612D"/>
    <w:rsid w:val="00F17C84"/>
    <w:rsid w:val="00F22C19"/>
    <w:rsid w:val="00F755FF"/>
    <w:rsid w:val="00F92E9C"/>
    <w:rsid w:val="00FA4DC2"/>
    <w:rsid w:val="00FD53F0"/>
    <w:rsid w:val="00FE1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5E8F5"/>
  <w15:chartTrackingRefBased/>
  <w15:docId w15:val="{26DCE217-75D3-4C20-9DC5-44CBE0771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A71"/>
  </w:style>
  <w:style w:type="paragraph" w:styleId="Heading1">
    <w:name w:val="heading 1"/>
    <w:basedOn w:val="Normal"/>
    <w:next w:val="Normal"/>
    <w:link w:val="Heading1Char"/>
    <w:uiPriority w:val="9"/>
    <w:qFormat/>
    <w:rsid w:val="00786A71"/>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A7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86A7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786A7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786A7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86A7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86A7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86A7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86A7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1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1FA"/>
  </w:style>
  <w:style w:type="paragraph" w:styleId="Footer">
    <w:name w:val="footer"/>
    <w:basedOn w:val="Normal"/>
    <w:link w:val="FooterChar"/>
    <w:uiPriority w:val="99"/>
    <w:unhideWhenUsed/>
    <w:rsid w:val="004411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1FA"/>
  </w:style>
  <w:style w:type="character" w:customStyle="1" w:styleId="Heading1Char">
    <w:name w:val="Heading 1 Char"/>
    <w:basedOn w:val="DefaultParagraphFont"/>
    <w:link w:val="Heading1"/>
    <w:uiPriority w:val="9"/>
    <w:rsid w:val="00786A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A7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786A71"/>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786A71"/>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786A71"/>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86A7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86A7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86A7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86A71"/>
    <w:rPr>
      <w:b/>
      <w:bCs/>
      <w:i/>
      <w:iCs/>
    </w:rPr>
  </w:style>
  <w:style w:type="paragraph" w:styleId="Caption">
    <w:name w:val="caption"/>
    <w:basedOn w:val="Normal"/>
    <w:next w:val="Normal"/>
    <w:uiPriority w:val="35"/>
    <w:semiHidden/>
    <w:unhideWhenUsed/>
    <w:qFormat/>
    <w:rsid w:val="00786A71"/>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786A71"/>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786A71"/>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786A71"/>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786A71"/>
    <w:rPr>
      <w:color w:val="44546A" w:themeColor="text2"/>
      <w:sz w:val="28"/>
      <w:szCs w:val="28"/>
    </w:rPr>
  </w:style>
  <w:style w:type="character" w:styleId="Strong">
    <w:name w:val="Strong"/>
    <w:basedOn w:val="DefaultParagraphFont"/>
    <w:uiPriority w:val="22"/>
    <w:qFormat/>
    <w:rsid w:val="00786A71"/>
    <w:rPr>
      <w:b/>
      <w:bCs/>
    </w:rPr>
  </w:style>
  <w:style w:type="character" w:styleId="Emphasis">
    <w:name w:val="Emphasis"/>
    <w:basedOn w:val="DefaultParagraphFont"/>
    <w:uiPriority w:val="20"/>
    <w:qFormat/>
    <w:rsid w:val="00786A71"/>
    <w:rPr>
      <w:i/>
      <w:iCs/>
      <w:color w:val="000000" w:themeColor="text1"/>
    </w:rPr>
  </w:style>
  <w:style w:type="paragraph" w:styleId="NoSpacing">
    <w:name w:val="No Spacing"/>
    <w:uiPriority w:val="1"/>
    <w:qFormat/>
    <w:rsid w:val="00786A71"/>
    <w:pPr>
      <w:spacing w:after="0" w:line="240" w:lineRule="auto"/>
    </w:pPr>
  </w:style>
  <w:style w:type="paragraph" w:styleId="Quote">
    <w:name w:val="Quote"/>
    <w:basedOn w:val="Normal"/>
    <w:next w:val="Normal"/>
    <w:link w:val="QuoteChar"/>
    <w:uiPriority w:val="29"/>
    <w:qFormat/>
    <w:rsid w:val="00786A71"/>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786A71"/>
    <w:rPr>
      <w:i/>
      <w:iCs/>
      <w:color w:val="7B7B7B" w:themeColor="accent3" w:themeShade="BF"/>
      <w:sz w:val="24"/>
      <w:szCs w:val="24"/>
    </w:rPr>
  </w:style>
  <w:style w:type="paragraph" w:styleId="IntenseQuote">
    <w:name w:val="Intense Quote"/>
    <w:basedOn w:val="Normal"/>
    <w:next w:val="Normal"/>
    <w:link w:val="IntenseQuoteChar"/>
    <w:uiPriority w:val="30"/>
    <w:qFormat/>
    <w:rsid w:val="00786A71"/>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786A71"/>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786A71"/>
    <w:rPr>
      <w:i/>
      <w:iCs/>
      <w:color w:val="595959" w:themeColor="text1" w:themeTint="A6"/>
    </w:rPr>
  </w:style>
  <w:style w:type="character" w:styleId="IntenseEmphasis">
    <w:name w:val="Intense Emphasis"/>
    <w:basedOn w:val="DefaultParagraphFont"/>
    <w:uiPriority w:val="21"/>
    <w:qFormat/>
    <w:rsid w:val="00786A71"/>
    <w:rPr>
      <w:b/>
      <w:bCs/>
      <w:i/>
      <w:iCs/>
      <w:color w:val="auto"/>
    </w:rPr>
  </w:style>
  <w:style w:type="character" w:styleId="SubtleReference">
    <w:name w:val="Subtle Reference"/>
    <w:basedOn w:val="DefaultParagraphFont"/>
    <w:uiPriority w:val="31"/>
    <w:qFormat/>
    <w:rsid w:val="00786A7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786A71"/>
    <w:rPr>
      <w:b/>
      <w:bCs/>
      <w:caps w:val="0"/>
      <w:smallCaps/>
      <w:color w:val="auto"/>
      <w:spacing w:val="0"/>
      <w:u w:val="single"/>
    </w:rPr>
  </w:style>
  <w:style w:type="character" w:styleId="BookTitle">
    <w:name w:val="Book Title"/>
    <w:basedOn w:val="DefaultParagraphFont"/>
    <w:uiPriority w:val="33"/>
    <w:qFormat/>
    <w:rsid w:val="00786A71"/>
    <w:rPr>
      <w:b/>
      <w:bCs/>
      <w:caps w:val="0"/>
      <w:smallCaps/>
      <w:spacing w:val="0"/>
    </w:rPr>
  </w:style>
  <w:style w:type="paragraph" w:styleId="TOCHeading">
    <w:name w:val="TOC Heading"/>
    <w:basedOn w:val="Heading1"/>
    <w:next w:val="Normal"/>
    <w:uiPriority w:val="39"/>
    <w:semiHidden/>
    <w:unhideWhenUsed/>
    <w:qFormat/>
    <w:rsid w:val="00786A71"/>
    <w:pPr>
      <w:outlineLvl w:val="9"/>
    </w:pPr>
  </w:style>
  <w:style w:type="paragraph" w:styleId="ListParagraph">
    <w:name w:val="List Paragraph"/>
    <w:basedOn w:val="Normal"/>
    <w:uiPriority w:val="34"/>
    <w:qFormat/>
    <w:rsid w:val="00046B83"/>
    <w:pPr>
      <w:ind w:left="720"/>
      <w:contextualSpacing/>
    </w:pPr>
  </w:style>
  <w:style w:type="paragraph" w:styleId="NormalWeb">
    <w:name w:val="Normal (Web)"/>
    <w:basedOn w:val="Normal"/>
    <w:uiPriority w:val="99"/>
    <w:semiHidden/>
    <w:unhideWhenUsed/>
    <w:rsid w:val="008C368F"/>
    <w:pPr>
      <w:spacing w:before="100" w:beforeAutospacing="1" w:after="100" w:afterAutospacing="1" w:line="240" w:lineRule="auto"/>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286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43791">
      <w:bodyDiv w:val="1"/>
      <w:marLeft w:val="0"/>
      <w:marRight w:val="0"/>
      <w:marTop w:val="0"/>
      <w:marBottom w:val="0"/>
      <w:divBdr>
        <w:top w:val="none" w:sz="0" w:space="0" w:color="auto"/>
        <w:left w:val="none" w:sz="0" w:space="0" w:color="auto"/>
        <w:bottom w:val="none" w:sz="0" w:space="0" w:color="auto"/>
        <w:right w:val="none" w:sz="0" w:space="0" w:color="auto"/>
      </w:divBdr>
    </w:div>
    <w:div w:id="236987334">
      <w:bodyDiv w:val="1"/>
      <w:marLeft w:val="0"/>
      <w:marRight w:val="0"/>
      <w:marTop w:val="0"/>
      <w:marBottom w:val="0"/>
      <w:divBdr>
        <w:top w:val="none" w:sz="0" w:space="0" w:color="auto"/>
        <w:left w:val="none" w:sz="0" w:space="0" w:color="auto"/>
        <w:bottom w:val="none" w:sz="0" w:space="0" w:color="auto"/>
        <w:right w:val="none" w:sz="0" w:space="0" w:color="auto"/>
      </w:divBdr>
    </w:div>
    <w:div w:id="239293429">
      <w:bodyDiv w:val="1"/>
      <w:marLeft w:val="0"/>
      <w:marRight w:val="0"/>
      <w:marTop w:val="0"/>
      <w:marBottom w:val="0"/>
      <w:divBdr>
        <w:top w:val="none" w:sz="0" w:space="0" w:color="auto"/>
        <w:left w:val="none" w:sz="0" w:space="0" w:color="auto"/>
        <w:bottom w:val="none" w:sz="0" w:space="0" w:color="auto"/>
        <w:right w:val="none" w:sz="0" w:space="0" w:color="auto"/>
      </w:divBdr>
    </w:div>
    <w:div w:id="451678360">
      <w:bodyDiv w:val="1"/>
      <w:marLeft w:val="0"/>
      <w:marRight w:val="0"/>
      <w:marTop w:val="0"/>
      <w:marBottom w:val="0"/>
      <w:divBdr>
        <w:top w:val="none" w:sz="0" w:space="0" w:color="auto"/>
        <w:left w:val="none" w:sz="0" w:space="0" w:color="auto"/>
        <w:bottom w:val="none" w:sz="0" w:space="0" w:color="auto"/>
        <w:right w:val="none" w:sz="0" w:space="0" w:color="auto"/>
      </w:divBdr>
    </w:div>
    <w:div w:id="605385748">
      <w:bodyDiv w:val="1"/>
      <w:marLeft w:val="0"/>
      <w:marRight w:val="0"/>
      <w:marTop w:val="0"/>
      <w:marBottom w:val="0"/>
      <w:divBdr>
        <w:top w:val="none" w:sz="0" w:space="0" w:color="auto"/>
        <w:left w:val="none" w:sz="0" w:space="0" w:color="auto"/>
        <w:bottom w:val="none" w:sz="0" w:space="0" w:color="auto"/>
        <w:right w:val="none" w:sz="0" w:space="0" w:color="auto"/>
      </w:divBdr>
    </w:div>
    <w:div w:id="835875430">
      <w:bodyDiv w:val="1"/>
      <w:marLeft w:val="0"/>
      <w:marRight w:val="0"/>
      <w:marTop w:val="0"/>
      <w:marBottom w:val="0"/>
      <w:divBdr>
        <w:top w:val="none" w:sz="0" w:space="0" w:color="auto"/>
        <w:left w:val="none" w:sz="0" w:space="0" w:color="auto"/>
        <w:bottom w:val="none" w:sz="0" w:space="0" w:color="auto"/>
        <w:right w:val="none" w:sz="0" w:space="0" w:color="auto"/>
      </w:divBdr>
    </w:div>
    <w:div w:id="996684800">
      <w:bodyDiv w:val="1"/>
      <w:marLeft w:val="0"/>
      <w:marRight w:val="0"/>
      <w:marTop w:val="0"/>
      <w:marBottom w:val="0"/>
      <w:divBdr>
        <w:top w:val="none" w:sz="0" w:space="0" w:color="auto"/>
        <w:left w:val="none" w:sz="0" w:space="0" w:color="auto"/>
        <w:bottom w:val="none" w:sz="0" w:space="0" w:color="auto"/>
        <w:right w:val="none" w:sz="0" w:space="0" w:color="auto"/>
      </w:divBdr>
    </w:div>
    <w:div w:id="1034118780">
      <w:bodyDiv w:val="1"/>
      <w:marLeft w:val="0"/>
      <w:marRight w:val="0"/>
      <w:marTop w:val="0"/>
      <w:marBottom w:val="0"/>
      <w:divBdr>
        <w:top w:val="none" w:sz="0" w:space="0" w:color="auto"/>
        <w:left w:val="none" w:sz="0" w:space="0" w:color="auto"/>
        <w:bottom w:val="none" w:sz="0" w:space="0" w:color="auto"/>
        <w:right w:val="none" w:sz="0" w:space="0" w:color="auto"/>
      </w:divBdr>
    </w:div>
    <w:div w:id="1069421401">
      <w:bodyDiv w:val="1"/>
      <w:marLeft w:val="0"/>
      <w:marRight w:val="0"/>
      <w:marTop w:val="0"/>
      <w:marBottom w:val="0"/>
      <w:divBdr>
        <w:top w:val="none" w:sz="0" w:space="0" w:color="auto"/>
        <w:left w:val="none" w:sz="0" w:space="0" w:color="auto"/>
        <w:bottom w:val="none" w:sz="0" w:space="0" w:color="auto"/>
        <w:right w:val="none" w:sz="0" w:space="0" w:color="auto"/>
      </w:divBdr>
    </w:div>
    <w:div w:id="1118717167">
      <w:bodyDiv w:val="1"/>
      <w:marLeft w:val="0"/>
      <w:marRight w:val="0"/>
      <w:marTop w:val="0"/>
      <w:marBottom w:val="0"/>
      <w:divBdr>
        <w:top w:val="none" w:sz="0" w:space="0" w:color="auto"/>
        <w:left w:val="none" w:sz="0" w:space="0" w:color="auto"/>
        <w:bottom w:val="none" w:sz="0" w:space="0" w:color="auto"/>
        <w:right w:val="none" w:sz="0" w:space="0" w:color="auto"/>
      </w:divBdr>
    </w:div>
    <w:div w:id="1460684040">
      <w:bodyDiv w:val="1"/>
      <w:marLeft w:val="0"/>
      <w:marRight w:val="0"/>
      <w:marTop w:val="0"/>
      <w:marBottom w:val="0"/>
      <w:divBdr>
        <w:top w:val="none" w:sz="0" w:space="0" w:color="auto"/>
        <w:left w:val="none" w:sz="0" w:space="0" w:color="auto"/>
        <w:bottom w:val="none" w:sz="0" w:space="0" w:color="auto"/>
        <w:right w:val="none" w:sz="0" w:space="0" w:color="auto"/>
      </w:divBdr>
    </w:div>
    <w:div w:id="1464343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Oma23</b:Tag>
    <b:SourceType>Book</b:SourceType>
    <b:Guid>{42BAA0F7-2582-4D3D-A127-8F6041A26E5B}</b:Guid>
    <b:Author>
      <b:Author>
        <b:Corporate>Omazon Information Security Department</b:Corporate>
      </b:Author>
    </b:Author>
    <b:Title>Omazon Threat Hunting Guidelines and Procedures</b:Title>
    <b:Year>2023</b:Year>
    <b:City>Los Angeles </b:City>
    <b:Publisher>Omazon</b:Publisher>
    <b:RefOrder>1</b:RefOrder>
  </b:Source>
  <b:Source>
    <b:Tag>Sqr18</b:Tag>
    <b:SourceType>Report</b:SourceType>
    <b:Guid>{DB86E338-E16D-4628-BCF4-AC730FE5AA2A}</b:Guid>
    <b:Author>
      <b:Author>
        <b:Corporate>Sqrrl Data</b:Corporate>
      </b:Author>
    </b:Author>
    <b:Title>A Framework for Cyber Threat Hunting</b:Title>
    <b:Year>2018</b:Year>
    <b:City>Cambridge</b:City>
    <b:Publisher>Sqrrl</b:Publisher>
    <b:RefOrder>2</b:RefOrder>
  </b:Source>
  <b:Source>
    <b:Tag>Jer20</b:Tag>
    <b:SourceType>Book</b:SourceType>
    <b:Guid>{7D902BC0-DA8D-423B-A4E2-27A8FE97B61D}</b:Guid>
    <b:Title>Applying the Scientific Method to Threat Hunting</b:Title>
    <b:Year>2020</b:Year>
    <b:Publisher>SANS </b:Publisher>
    <b:Author>
      <b:Author>
        <b:NameList>
          <b:Person>
            <b:Last>Kerwin</b:Last>
            <b:First>Jeremy</b:First>
          </b:Person>
        </b:NameList>
      </b:Author>
    </b:Author>
    <b:RefOrder>3</b:RefOrder>
  </b:Source>
  <b:Source>
    <b:Tag>MIT24</b:Tag>
    <b:SourceType>InternetSite</b:SourceType>
    <b:Guid>{4FD96040-90D2-464A-B470-E48FCF6306E8}</b:Guid>
    <b:Year>2024</b:Year>
    <b:Author>
      <b:Author>
        <b:Corporate>MITRE </b:Corporate>
      </b:Author>
    </b:Author>
    <b:InternetSiteTitle>MITRE ATT&amp;CK</b:InternetSiteTitle>
    <b:Month>June</b:Month>
    <b:Day>1</b:Day>
    <b:URL>https://attack.mitre.org/</b:URL>
    <b:RefOrder>4</b:RefOrder>
  </b:Source>
  <b:Source>
    <b:Tag>Gun18</b:Tag>
    <b:SourceType>JournalArticle</b:SourceType>
    <b:Guid>{067BD8FE-30F6-46F7-8063-CF4FC5F223B0}</b:Guid>
    <b:Title>A Practical Model for Conducting Cyber Threat Hunting</b:Title>
    <b:Year>2018</b:Year>
    <b:Author>
      <b:Author>
        <b:NameList>
          <b:Person>
            <b:Last>Gunter</b:Last>
            <b:First>Dan</b:First>
          </b:Person>
        </b:NameList>
      </b:Author>
    </b:Author>
    <b:Pages>15</b:Pages>
    <b:JournalName>SANS Whitepaper</b:JournalName>
    <b:RefOrder>5</b:RefOrder>
  </b:Source>
  <b:Source>
    <b:Tag>Rob16</b:Tag>
    <b:SourceType>JournalArticle</b:SourceType>
    <b:Guid>{ED62810E-7F6B-409F-BF47-7DE4C44097B8}</b:Guid>
    <b:Author>
      <b:Author>
        <b:NameList>
          <b:Person>
            <b:Last>Robert M. LEE</b:Last>
            <b:First>David</b:First>
            <b:Middle>Bianco</b:Middle>
          </b:Person>
        </b:NameList>
      </b:Author>
    </b:Author>
    <b:Title>Generating Hypotheses for Successful Threat Hunting</b:Title>
    <b:JournalName>SANS Whitepaper</b:JournalName>
    <b:Year>2016</b:Year>
    <b:Pages>12</b:Pages>
    <b:RefOrder>6</b:RefOrder>
  </b:Source>
  <b:Source>
    <b:Tag>Out18</b:Tag>
    <b:SourceType>DocumentFromInternetSite</b:SourceType>
    <b:Guid>{8F5C09CB-C43A-498B-A8F5-9888E24C6884}</b:Guid>
    <b:Title>The top 10 list of the world’s biggest cyberattacks</b:Title>
    <b:Year>2018</b:Year>
    <b:Author>
      <b:Author>
        <b:Corporate>Outpost24</b:Corporate>
      </b:Author>
    </b:Author>
    <b:Month>December</b:Month>
    <b:Day>3</b:Day>
    <b:URL>https://outpost24.com/blog/top-10-biggest-cyberattacks/</b:URL>
    <b:RefOrder>7</b:RefOrder>
  </b:Source>
  <b:Source>
    <b:Tag>Cle24</b:Tag>
    <b:SourceType>DocumentFromInternetSite</b:SourceType>
    <b:Guid>{5DE9AC7C-8241-457B-8EBD-00741D9AD94E}</b:Guid>
    <b:Author>
      <b:Author>
        <b:Corporate>Clear Insurance</b:Corporate>
      </b:Author>
    </b:Author>
    <b:Title>10 Biggest Cyber Attacks in History</b:Title>
    <b:Year>2024</b:Year>
    <b:Month>June</b:Month>
    <b:Day>10</b:Day>
    <b:URL>https://clearinsurance.com.au/10-biggest-cyber-attacks-in-history/</b:URL>
    <b:RefOrder>8</b:RefOrder>
  </b:Source>
  <b:Source>
    <b:Tag>Jim24</b:Tag>
    <b:SourceType>Report</b:SourceType>
    <b:Guid>{EDEA38CA-F0AC-4CCC-955E-A217205168FE}</b:Guid>
    <b:Title>Top 10 Cyberattacks of 2023</b:Title>
    <b:Year>2024</b:Year>
    <b:Publisher>Stellar Cyber</b:Publisher>
    <b:Author>
      <b:Author>
        <b:NameList>
          <b:Person>
            <b:Last>Masters</b:Last>
            <b:First>Jim</b:First>
          </b:Person>
        </b:NameList>
      </b:Author>
    </b:Author>
    <b:RefOrder>9</b:RefOrder>
  </b:Source>
  <b:Source>
    <b:Tag>Emm23</b:Tag>
    <b:SourceType>Report</b:SourceType>
    <b:Guid>{CD2AB650-DEF8-47F1-B8B5-DF0F25D8AAB8}</b:Guid>
    <b:Author>
      <b:Author>
        <b:NameList>
          <b:Person>
            <b:Last>Oyedeji</b:Last>
            <b:First>Emmanuel</b:First>
          </b:Person>
        </b:NameList>
      </b:Author>
    </b:Author>
    <b:Title>Cyberattacks Globally in Q1 2023</b:Title>
    <b:Year>2023</b:Year>
    <b:Publisher>Techloy</b:Publisher>
    <b:RefOrder>10</b:RefOrder>
  </b:Source>
  <b:Source>
    <b:Tag>Sul22</b:Tag>
    <b:SourceType>Report</b:SourceType>
    <b:Guid>{4D4CC9AB-2C5D-42E3-902A-D522DEB526B3}</b:Guid>
    <b:Title>Knowing the unknown: THe hunting loop</b:Title>
    <b:Year>2022</b:Year>
    <b:Author>
      <b:Author>
        <b:NameList>
          <b:Person>
            <b:Last>Alanazi</b:Last>
            <b:First>Sultan</b:First>
            <b:Middle>Saud</b:Middle>
          </b:Person>
        </b:NameList>
      </b:Author>
    </b:Author>
    <b:Publisher>IASE</b:Publisher>
    <b:City>Switzerland</b:City>
    <b:RefOrder>11</b:RefOrder>
  </b:Source>
</b:Sources>
</file>

<file path=customXml/itemProps1.xml><?xml version="1.0" encoding="utf-8"?>
<ds:datastoreItem xmlns:ds="http://schemas.openxmlformats.org/officeDocument/2006/customXml" ds:itemID="{FF24FA5C-8776-4715-9CAE-BD883EEFA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5</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Winfield MSgt Kevin D</dc:creator>
  <cp:keywords/>
  <dc:description/>
  <cp:lastModifiedBy>kevin winfield</cp:lastModifiedBy>
  <cp:revision>35</cp:revision>
  <dcterms:created xsi:type="dcterms:W3CDTF">2024-06-15T04:06:00Z</dcterms:created>
  <dcterms:modified xsi:type="dcterms:W3CDTF">2025-02-26T04:11:00Z</dcterms:modified>
</cp:coreProperties>
</file>