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5.png" ContentType="image/pn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02/05/2</w:t>
      </w:r>
      <w:r>
        <w:drawing>
          <wp:anchor behindDoc="0" distT="0" distB="0" distL="0" distR="0" simplePos="0" locked="0" layoutInCell="0" allowOverlap="1" relativeHeight="2">
            <wp:simplePos x="0" y="0"/>
            <wp:positionH relativeFrom="column">
              <wp:posOffset>55245</wp:posOffset>
            </wp:positionH>
            <wp:positionV relativeFrom="paragraph">
              <wp:posOffset>826135</wp:posOffset>
            </wp:positionV>
            <wp:extent cx="6332220" cy="26644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4460"/>
                    </a:xfrm>
                    <a:prstGeom prst="rect">
                      <a:avLst/>
                    </a:prstGeom>
                  </pic:spPr>
                </pic:pic>
              </a:graphicData>
            </a:graphic>
          </wp:anchor>
        </w:drawing>
      </w:r>
      <w:r>
        <w:rPr/>
        <w:t>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for the IC900 radio. The mechanical and electrical elements peculiar to the IC900F are also discussed, but all other aspects the operator is referred to the IC-900A Instruction Manual, published by ICOM.</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 email address:</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p>
    <w:p>
      <w:pPr>
        <w:pStyle w:val="Normal"/>
        <w:bidi w:val="0"/>
        <w:jc w:val="start"/>
        <w:rPr>
          <w:sz w:val="32"/>
          <w:szCs w:val="32"/>
        </w:rPr>
      </w:pPr>
      <w:r>
        <w:rPr>
          <w:sz w:val="32"/>
          <w:szCs w:val="32"/>
        </w:rPr>
        <w:t>Forward</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make the alternate device much more desirable than the original.  While some measure of continuity from the original is maintained, new features have blurred that line considerably.  Thus, the experienced IC-900 user may find that some considerable “re-learning” is needed to adapt to the new way of doing things.</w:t>
      </w:r>
    </w:p>
    <w:p>
      <w:pPr>
        <w:pStyle w:val="Normal"/>
        <w:bidi w:val="0"/>
        <w:jc w:val="start"/>
        <w:rPr/>
      </w:pPr>
      <w:r>
        <w:rPr/>
      </w:r>
    </w:p>
    <w:p>
      <w:pPr>
        <w:pStyle w:val="Normal"/>
        <w:bidi w:val="0"/>
        <w:jc w:val="start"/>
        <w:rPr/>
      </w:pPr>
      <w:r>
        <w:rPr/>
        <w:t>Such change has not been undertaken lightly.  I am a strong supporter of “better”, not so much do I support “newer”.  Too many developers like to think that their brand of new is better than the previous version.  While I am biased somewhat, I hope that you will agree that most of what I present as “new” is also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These may come in time, as user demand might influence.  For now, they should not be installed.</w:t>
      </w:r>
      <w:r>
        <w:br w:type="page"/>
      </w:r>
    </w:p>
    <w:p>
      <w:pPr>
        <w:pStyle w:val="Normal"/>
        <w:bidi w:val="0"/>
        <w:spacing w:before="0" w:after="0"/>
        <w:jc w:val="start"/>
        <w:rPr>
          <w:sz w:val="32"/>
          <w:szCs w:val="32"/>
        </w:rPr>
      </w:pPr>
      <w:r>
        <mc:AlternateContent>
          <mc:Choice Requires="wps">
            <w:drawing>
              <wp:anchor behindDoc="0" distT="0" distB="0" distL="0" distR="0" simplePos="0" locked="0" layoutInCell="0" allowOverlap="1" relativeHeight="10">
                <wp:simplePos x="0" y="0"/>
                <wp:positionH relativeFrom="column">
                  <wp:posOffset>2777490</wp:posOffset>
                </wp:positionH>
                <wp:positionV relativeFrom="paragraph">
                  <wp:posOffset>12065</wp:posOffset>
                </wp:positionV>
                <wp:extent cx="3585210" cy="4410075"/>
                <wp:effectExtent l="0" t="0" r="0" b="0"/>
                <wp:wrapSquare wrapText="largest"/>
                <wp:docPr id="2" name="Frame4"/>
                <a:graphic xmlns:a="http://schemas.openxmlformats.org/drawingml/2006/main">
                  <a:graphicData uri="http://schemas.microsoft.com/office/word/2010/wordprocessingShape">
                    <wps:wsp>
                      <wps:cNvSpPr/>
                      <wps:spPr>
                        <a:xfrm>
                          <a:off x="0" y="0"/>
                          <a:ext cx="3585240" cy="441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3"/>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wps:txbx>
                      <wps:bodyPr tIns="91440" bIns="91440" anchor="t">
                        <a:noAutofit/>
                      </wps:bodyPr>
                    </wps:wsp>
                  </a:graphicData>
                </a:graphic>
              </wp:anchor>
            </w:drawing>
          </mc:Choice>
          <mc:Fallback>
            <w:pict>
              <v:rect id="shape_0" ID="Frame4" path="m0,0l-2147483645,0l-2147483645,-2147483646l0,-2147483646xe" fillcolor="white" stroked="f" o:allowincell="f" style="position:absolute;margin-left:218.7pt;margin-top:0.95pt;width:282.25pt;height:347.2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3585210" cy="3629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v:textbox>
                <w10:wrap type="square" side="largest"/>
              </v:rect>
            </w:pict>
          </mc:Fallback>
        </mc:AlternateContent>
      </w:r>
      <w:r>
        <w:rPr>
          <w:sz w:val="32"/>
          <w:szCs w:val="32"/>
        </w:rPr>
        <w:t>Connections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i/>
          <w:iCs/>
          <w:sz w:val="24"/>
          <w:szCs w:val="24"/>
        </w:rPr>
        <w:t>Note: The RDU connection is NOT compatible with the HM-133.  Care must be exercised to avoid connecting the HM-133 to the RDU connection</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controller connection unit features the RJ-45 connection to the Remote Unit and also a 9-pin DSUB connector for a 115.2 Kbaud serial connection to a PC.  This connection is used to save and restore memory settings for the radio and requires a custom program to perform the memory management transfers.  This interface is describe later in this document.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mc:AlternateContent>
          <mc:Choice Requires="wps">
            <w:drawing>
              <wp:anchor behindDoc="0" distT="0" distB="635" distL="0" distR="0" simplePos="0" locked="0" layoutInCell="0" allowOverlap="1" relativeHeight="13">
                <wp:simplePos x="0" y="0"/>
                <wp:positionH relativeFrom="column">
                  <wp:posOffset>2104390</wp:posOffset>
                </wp:positionH>
                <wp:positionV relativeFrom="paragraph">
                  <wp:posOffset>111125</wp:posOffset>
                </wp:positionV>
                <wp:extent cx="4215765" cy="2707640"/>
                <wp:effectExtent l="0" t="0" r="0" b="0"/>
                <wp:wrapSquare wrapText="largest"/>
                <wp:docPr id="3" name="Frame5"/>
                <a:graphic xmlns:a="http://schemas.openxmlformats.org/drawingml/2006/main">
                  <a:graphicData uri="http://schemas.microsoft.com/office/word/2010/wordprocessingShape">
                    <wps:wsp>
                      <wps:cNvSpPr/>
                      <wps:spPr>
                        <a:xfrm>
                          <a:off x="0" y="0"/>
                          <a:ext cx="4215600" cy="270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215765" cy="22117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wps:txbx>
                      <wps:bodyPr tIns="91440" bIns="91440" anchor="t">
                        <a:noAutofit/>
                      </wps:bodyPr>
                    </wps:wsp>
                  </a:graphicData>
                </a:graphic>
              </wp:anchor>
            </w:drawing>
          </mc:Choice>
          <mc:Fallback>
            <w:pict>
              <v:rect id="shape_0" ID="Frame5" path="m0,0l-2147483645,0l-2147483645,-2147483646l0,-2147483646xe" fillcolor="white" stroked="f" o:allowincell="f" style="position:absolute;margin-left:165.7pt;margin-top:8.75pt;width:331.9pt;height:213.1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v:textbox>
                <w10:wrap type="square" side="largest"/>
              </v:rect>
            </w:pict>
          </mc:Fallback>
        </mc:AlternateContent>
      </w:r>
    </w:p>
    <w:p>
      <w:pPr>
        <w:pStyle w:val="Normal"/>
        <w:bidi w:val="0"/>
        <w:spacing w:before="0" w:after="0"/>
        <w:jc w:val="start"/>
        <w:rPr>
          <w:sz w:val="24"/>
          <w:szCs w:val="24"/>
        </w:rPr>
      </w:pPr>
      <w:r>
        <w:rPr>
          <w:sz w:val="24"/>
          <w:szCs w:val="24"/>
        </w:rPr>
        <w:t>The IC900F has many similarities with the original IC900 controller.  The display format is very similar, and the radio maintains a main/sub band approach just as with the original controller.  Figure 2 illustrates the display symbology for the IC900F.</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PROG, BAND, and OW are not currently used.</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38450" cy="1143000"/>
            <wp:effectExtent l="0" t="0" r="0" b="0"/>
            <wp:wrapTopAndBottom/>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7"/>
                    <a:stretch>
                      <a:fillRect/>
                    </a:stretch>
                  </pic:blipFill>
                  <pic:spPr bwMode="auto">
                    <a:xfrm>
                      <a:off x="0" y="0"/>
                      <a:ext cx="2838450" cy="1143000"/>
                    </a:xfrm>
                    <a:prstGeom prst="rect">
                      <a:avLst/>
                    </a:prstGeom>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290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8"/>
                    <a:stretch>
                      <a:fillRect/>
                    </a:stretch>
                  </pic:blipFill>
                  <pic:spPr bwMode="auto">
                    <a:xfrm>
                      <a:off x="0" y="0"/>
                      <a:ext cx="6332220" cy="1129030"/>
                    </a:xfrm>
                    <a:prstGeom prst="rect">
                      <a:avLst/>
                    </a:prstGeom>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w:rPr>
          <w:sz w:val="32"/>
          <w:szCs w:val="32"/>
        </w:rPr>
        <w:t>Control Button Layouts</w:t>
      </w:r>
    </w:p>
    <w:p>
      <w:pPr>
        <w:pStyle w:val="Normal"/>
        <w:bidi w:val="0"/>
        <w:jc w:val="start"/>
        <w:rPr/>
      </w:pPr>
      <w:r>
        <w:rPr/>
        <mc:AlternateContent>
          <mc:Choice Requires="wps">
            <w:drawing>
              <wp:anchor behindDoc="0" distT="0" distB="635" distL="0" distR="0" simplePos="0" locked="0" layoutInCell="0" allowOverlap="1" relativeHeight="3">
                <wp:simplePos x="0" y="0"/>
                <wp:positionH relativeFrom="column">
                  <wp:posOffset>3907155</wp:posOffset>
                </wp:positionH>
                <wp:positionV relativeFrom="paragraph">
                  <wp:posOffset>83820</wp:posOffset>
                </wp:positionV>
                <wp:extent cx="2279015" cy="4168140"/>
                <wp:effectExtent l="0" t="0" r="0" b="0"/>
                <wp:wrapSquare wrapText="left"/>
                <wp:docPr id="6" name="Frame1"/>
                <a:graphic xmlns:a="http://schemas.openxmlformats.org/drawingml/2006/main">
                  <a:graphicData uri="http://schemas.microsoft.com/office/word/2010/wordprocessingShape">
                    <wps:wsp>
                      <wps:cNvSpPr/>
                      <wps:spPr>
                        <a:xfrm>
                          <a:off x="0" y="0"/>
                          <a:ext cx="227916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07.65pt;margin-top:6.6pt;width:179.4pt;height:328.15pt;mso-wrap-style:square;v-text-anchor:top">
                <v:fill o:detectmouseclick="t" type="solid" color2="black"/>
                <v:stroke color="#3465a4" joinstyle="round" endcap="flat"/>
                <v:textbo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v:textbox>
                <w10:wrap type="square" side="left"/>
              </v:rect>
            </w:pict>
          </mc:Fallback>
        </mc:AlternateContent>
        <w:drawing>
          <wp:anchor behindDoc="0" distT="0" distB="0" distL="0" distR="0" simplePos="0" locked="0" layoutInCell="0" allowOverlap="1" relativeHeight="7">
            <wp:simplePos x="0" y="0"/>
            <wp:positionH relativeFrom="column">
              <wp:posOffset>3973195</wp:posOffset>
            </wp:positionH>
            <wp:positionV relativeFrom="paragraph">
              <wp:posOffset>1037590</wp:posOffset>
            </wp:positionV>
            <wp:extent cx="2230120" cy="3863975"/>
            <wp:effectExtent l="0" t="0" r="0" b="0"/>
            <wp:wrapSquare wrapText="lef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pic:spPr>
                </pic:pic>
              </a:graphicData>
            </a:graphic>
          </wp:anchor>
        </w:drawing>
      </w:r>
    </w:p>
    <w:p>
      <w:pPr>
        <w:pStyle w:val="Normal"/>
        <w:bidi w:val="0"/>
        <w:jc w:val="start"/>
        <w:rPr/>
      </w:pPr>
      <w:r>
        <w:rPr/>
        <w:t xml:space="preserve">The control buttons for the IC900F follow a similar layout to those of the original.  Figure 3 illustrates the front panel buttons and dial.  Most of the buttons retain their original nomenclature, but there are a couple of exceptions: VFO is now called </w:t>
      </w:r>
      <w:r>
        <w:rPr>
          <w:b/>
          <w:bCs/>
        </w:rPr>
        <w:t>BAND</w:t>
      </w:r>
      <w:r>
        <w:rPr/>
        <w:t xml:space="preserve">, the </w:t>
      </w:r>
      <w:r>
        <w:rPr>
          <w:b/>
          <w:bCs/>
        </w:rPr>
        <w:t>LOCK</w:t>
      </w:r>
      <w:r>
        <w:rPr/>
        <w:t xml:space="preserve"> and </w:t>
      </w:r>
      <w:r>
        <w:rPr>
          <w:b/>
          <w:bCs/>
        </w:rPr>
        <w:t>DIM</w:t>
      </w:r>
      <w:r>
        <w:rPr/>
        <w:t xml:space="preserve">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b/>
          <w:bCs/>
        </w:rPr>
        <w:t>Q</w:t>
      </w:r>
      <w:r>
        <w:rPr/>
        <w:t>: Squelch toggle – up increases squelch, down decreases.  Push-hold increases or decreases to the limit.</w:t>
      </w:r>
    </w:p>
    <w:p>
      <w:pPr>
        <w:pStyle w:val="Normal"/>
        <w:bidi w:val="0"/>
        <w:ind w:hanging="360" w:start="360" w:end="0"/>
        <w:jc w:val="start"/>
        <w:rPr/>
      </w:pPr>
      <w:r>
        <w:rPr>
          <w:b/>
          <w:bCs/>
        </w:rPr>
        <w:t>Dial</w:t>
      </w:r>
      <w:r>
        <w:rPr/>
        <w:t>: CW increases display number (mem#, frequency, etc…), CCW decreases.  Pushing the dial swaps the main/sub bands.</w:t>
      </w:r>
    </w:p>
    <w:p>
      <w:pPr>
        <w:pStyle w:val="Normal"/>
        <w:bidi w:val="0"/>
        <w:ind w:hanging="360" w:start="360" w:end="0"/>
        <w:jc w:val="start"/>
        <w:rPr/>
      </w:pPr>
      <w:r>
        <w:rPr>
          <w:b/>
          <w:bCs/>
        </w:rPr>
        <w:t>V</w:t>
      </w:r>
      <w:r>
        <w:rPr/>
        <w:t>: Volume toggle – up increases volume, down decreases.  Push-hold down sets the volume to 0.</w:t>
      </w:r>
    </w:p>
    <w:p>
      <w:pPr>
        <w:pStyle w:val="Normal"/>
        <w:bidi w:val="0"/>
        <w:ind w:hanging="360" w:start="360" w:end="0"/>
        <w:jc w:val="start"/>
        <w:rPr/>
      </w:pPr>
      <w:r>
        <w:rPr>
          <w:b/>
          <w:bCs/>
        </w:rPr>
        <w:t>PWR</w:t>
      </w:r>
      <w:r>
        <w:rPr/>
        <w:t>: Press to turn power on/off.</w:t>
      </w:r>
    </w:p>
    <w:p>
      <w:pPr>
        <w:pStyle w:val="Normal"/>
        <w:bidi w:val="0"/>
        <w:ind w:hanging="360" w:start="360" w:end="0"/>
        <w:jc w:val="start"/>
        <w:rPr/>
      </w:pPr>
      <w:r>
        <w:rPr>
          <w:b/>
          <w:bCs/>
        </w:rPr>
        <w:t>HI/lo</w:t>
      </w:r>
      <w:r>
        <w:rPr/>
        <w:t>: Toggles RF power setting.</w:t>
      </w:r>
    </w:p>
    <w:p>
      <w:pPr>
        <w:pStyle w:val="Normal"/>
        <w:bidi w:val="0"/>
        <w:ind w:hanging="360" w:start="360" w:end="0"/>
        <w:jc w:val="start"/>
        <w:rPr/>
      </w:pPr>
      <w:r>
        <w:rPr>
          <w:b/>
          <w:bCs/>
        </w:rPr>
        <w:t>DUP</w:t>
      </w:r>
      <w:r>
        <w:rPr/>
        <w:t>: Cycles through duplex settings (+/-/S).  Push-hold invokes duplex offset frequency adjust mode.</w:t>
      </w:r>
    </w:p>
    <w:p>
      <w:pPr>
        <w:pStyle w:val="Normal"/>
        <w:bidi w:val="0"/>
        <w:ind w:hanging="360" w:start="360" w:end="0"/>
        <w:jc w:val="start"/>
        <w:rPr/>
      </w:pPr>
      <w:r>
        <w:rPr>
          <w:b/>
          <w:bCs/>
        </w:rPr>
        <w:t>BAND</w:t>
      </w:r>
      <w:r>
        <w:rPr/>
        <w:t xml:space="preserve">: Cycles through available band modules.  </w:t>
      </w:r>
      <w:r>
        <w:rPr>
          <w:i/>
          <w:iCs/>
        </w:rPr>
        <w:t>Note: This button has no effect if 2 or less modules are installed</w:t>
      </w:r>
      <w:r>
        <w:rPr/>
        <w:t>.</w:t>
      </w:r>
    </w:p>
    <w:p>
      <w:pPr>
        <w:pStyle w:val="Normal"/>
        <w:bidi w:val="0"/>
        <w:ind w:hanging="360" w:start="360" w:end="0"/>
        <w:jc w:val="start"/>
        <w:rPr/>
      </w:pPr>
      <w:r>
        <w:rPr>
          <w:b/>
          <w:bCs/>
        </w:rPr>
        <w:t>CALL</w:t>
      </w:r>
      <w:r>
        <w:rPr/>
        <w:t>: Enters 4-channel call memory loop.  Dial or mic up/dn buttons cycle through the 4 available call channels.  Press-hold programs the VFO into the current call slot.</w:t>
      </w:r>
    </w:p>
    <w:p>
      <w:pPr>
        <w:pStyle w:val="Normal"/>
        <w:bidi w:val="0"/>
        <w:ind w:hanging="360" w:start="360" w:end="0"/>
        <w:jc w:val="start"/>
        <w:rPr/>
      </w:pPr>
      <w:r>
        <w:rPr>
          <w:b/>
          <w:bCs/>
        </w:rPr>
        <w:t>TONE</w:t>
      </w:r>
      <w:r>
        <w:rPr/>
        <w:t>: Toggles the CTCSS encode function on/off.  Press-hold invokes the tone frequency entry mode.</w:t>
      </w:r>
    </w:p>
    <w:p>
      <w:pPr>
        <w:pStyle w:val="Normal"/>
        <w:bidi w:val="0"/>
        <w:ind w:hanging="360" w:start="360" w:end="0"/>
        <w:jc w:val="start"/>
        <w:rPr/>
      </w:pPr>
      <w:r>
        <w:rPr>
          <w:b/>
          <w:bCs/>
        </w:rPr>
        <w:t>MR</w:t>
      </w:r>
      <w:r>
        <w:rPr/>
        <w:t xml:space="preserve">: Memory recall – Toggles between mem and VFO mode.  Dial or mic up/dn buttons cycle through the 30 available memory channels. </w:t>
      </w:r>
    </w:p>
    <w:p>
      <w:pPr>
        <w:pStyle w:val="Normal"/>
        <w:bidi w:val="0"/>
        <w:ind w:hanging="360" w:start="360" w:end="0"/>
        <w:jc w:val="start"/>
        <w:rPr/>
      </w:pPr>
      <w:r>
        <w:rPr>
          <w:b/>
          <w:bCs/>
        </w:rPr>
        <w:t>MW</w:t>
      </w:r>
      <w:r>
        <w:rPr/>
        <w:t>: Press-hold to write the VFO settings to the current memory slot.</w:t>
      </w:r>
    </w:p>
    <w:p>
      <w:pPr>
        <w:pStyle w:val="Normal"/>
        <w:bidi w:val="0"/>
        <w:ind w:hanging="360" w:start="360" w:end="0"/>
        <w:jc w:val="start"/>
        <w:rPr/>
      </w:pPr>
      <w:r>
        <w:rPr>
          <w:b/>
          <w:bCs/>
        </w:rPr>
        <w:t>CHK</w:t>
      </w:r>
      <w:r>
        <w:rPr/>
        <w:t xml:space="preserve">: If </w:t>
      </w:r>
      <w:r>
        <w:rPr>
          <w:rFonts w:eastAsia="NSimSun" w:cs="Arial"/>
        </w:rPr>
        <w:t>±</w:t>
      </w:r>
      <w:r>
        <w:rPr/>
        <w:t>DUP is displayed, this button flips the TX/RX frequencies.  Press-hold flips TX/RX and opens the squelch (even if DUP is not displayed).</w:t>
      </w:r>
    </w:p>
    <w:p>
      <w:pPr>
        <w:pStyle w:val="Normal"/>
        <w:bidi w:val="0"/>
        <w:ind w:hanging="360" w:start="360" w:end="0"/>
        <w:jc w:val="start"/>
        <w:rPr/>
      </w:pPr>
      <w:r>
        <w:rPr>
          <w:b/>
          <w:bCs/>
        </w:rPr>
        <w:t>SUB</w:t>
      </w:r>
      <w:r>
        <w:rPr/>
        <w:t>: Toggles the control focus between the main and sub bands.</w:t>
      </w:r>
    </w:p>
    <w:p>
      <w:pPr>
        <w:pStyle w:val="Normal"/>
        <w:bidi w:val="0"/>
        <w:ind w:hanging="360" w:start="360" w:end="0"/>
        <w:jc w:val="start"/>
        <w:rPr/>
      </w:pPr>
      <w:r>
        <w:rPr>
          <w:b/>
          <w:bCs/>
        </w:rPr>
        <w:t>TS</w:t>
      </w:r>
      <w:r>
        <w:rPr/>
        <w:t>: Toggles between the “A” and “B” tuning step sizes.  Push-hold invokes the step-size select mode which allows one of 3 combinations of step size (in KHz): 5/10, 5/25, or 10/25.</w:t>
      </w:r>
    </w:p>
    <w:p>
      <w:pPr>
        <w:pStyle w:val="Normal"/>
        <w:bidi w:val="0"/>
        <w:ind w:hanging="360" w:start="360" w:end="0"/>
        <w:jc w:val="start"/>
        <w:rPr/>
      </w:pPr>
      <w:r>
        <w:rPr>
          <w:b/>
          <w:bCs/>
        </w:rPr>
        <w:t>MHz</w:t>
      </w:r>
      <w:r>
        <w:rPr/>
        <w:t>: Toggles the MHz mode on/off.  When on, frequency steps are in MHz (dial or mic up/dn buttons).  When “MHz” is off, the TS step size is in effect.  Press-hold puts the frequency into “thumbwheel mode” (more on this later).  The MHz button is used to exit the thumbwheel mode.  In mem mode, toggles mem text-name display on/off.</w:t>
      </w:r>
    </w:p>
    <w:p>
      <w:pPr>
        <w:pStyle w:val="Normal"/>
        <w:bidi w:val="0"/>
        <w:ind w:hanging="360" w:start="360" w:end="0"/>
        <w:jc w:val="start"/>
        <w:rPr/>
      </w:pPr>
      <w:r>
        <w:rPr>
          <w:b/>
          <w:bCs/>
        </w:rPr>
        <w:t>SMUTE</w:t>
      </w:r>
      <w:r>
        <w:rPr/>
        <w:t>: Toggles the sub-band speaker mute.  Press-hold mutes both main and sub bands.  The frequency digits flash for the muted band(s).</w:t>
      </w:r>
    </w:p>
    <w:p>
      <w:pPr>
        <w:pStyle w:val="Normal"/>
        <w:bidi w:val="0"/>
        <w:ind w:hanging="360" w:start="360" w:end="0"/>
        <w:jc w:val="start"/>
        <w:rPr/>
      </w:pPr>
      <w:r>
        <w:rPr>
          <w:b/>
          <w:bCs/>
        </w:rPr>
        <w:t>TD</w:t>
      </w:r>
      <w:r>
        <w:rPr/>
        <w:t>: no-op.  This button is not currently used.</w:t>
      </w:r>
    </w:p>
    <w:p>
      <w:pPr>
        <w:pStyle w:val="Normal"/>
        <w:bidi w:val="0"/>
        <w:ind w:hanging="360" w:start="360" w:end="0"/>
        <w:jc w:val="start"/>
        <w:rPr/>
      </w:pPr>
      <w:r>
        <w:rPr>
          <w:b/>
          <w:bCs/>
        </w:rPr>
        <w:t>SET</w:t>
      </w:r>
      <w:r>
        <w:rPr/>
        <w:t>: Used to toggle to next memory bank (0 – 9).</w:t>
      </w:r>
    </w:p>
    <w:p>
      <w:pPr>
        <w:pStyle w:val="Normal"/>
        <w:bidi w:val="0"/>
        <w:ind w:hanging="360" w:start="360" w:end="0"/>
        <w:jc w:val="start"/>
        <w:rPr/>
      </w:pPr>
      <w:r>
        <w:rPr>
          <w:b/>
          <w:bCs/>
        </w:rPr>
        <w:t>DIM/LOCK</w:t>
      </w:r>
      <w:r>
        <w:rPr/>
        <w:t xml:space="preserve"> (located on the side of the unit): Press-release toggles the LED and LCD back-light brightness.  Press-hold invokes the LOCK mode which locks the buttons and mic controls.  Press-hold releases the LOCK mode.</w:t>
      </w:r>
    </w:p>
    <w:p>
      <w:pPr>
        <w:pStyle w:val="Normal"/>
        <w:bidi w:val="0"/>
        <w:ind w:hanging="360" w:start="360" w:end="0"/>
        <w:jc w:val="start"/>
        <w:rPr/>
      </w:pPr>
      <w:r>
        <w:rPr/>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 xml:space="preserve">In addition to providing some of the front panel button features, the HM-133 interface provides an extra set of features not available with the existing controller buttons.  Figure 4 shows the HM-133 keypad with a description of the key functions to follow.  </w:t>
      </w:r>
      <w:r>
        <w:rPr>
          <w:i/>
          <w:iCs/>
        </w:rPr>
        <w:t>Note: Many of the HM-133 key functions do not match the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w:t>
      </w:r>
      <w:r>
        <w:rPr>
          <w:b/>
          <w:bCs/>
        </w:rPr>
        <w:t>FUNC</w:t>
      </w:r>
      <w:r>
        <w:rPr/>
        <w:t xml:space="preserve">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  The descriptions below list the HM-133 nomenclature followed by the IC900F function name.  Functions that have the same name as the front panel buttons perform in exactly the same way as described for the front panel.</w:t>
      </w:r>
    </w:p>
    <w:p>
      <w:pPr>
        <w:pStyle w:val="Normal"/>
        <w:bidi w:val="0"/>
        <w:ind w:hanging="0" w:start="0" w:end="0"/>
        <w:jc w:val="start"/>
        <w:rPr/>
      </w:pPr>
      <w:r>
        <w:rPr/>
      </w:r>
    </w:p>
    <w:p>
      <w:pPr>
        <w:pStyle w:val="Normal"/>
        <w:bidi w:val="0"/>
        <w:ind w:hanging="0" w:start="0" w:end="0"/>
        <w:jc w:val="start"/>
        <w:rPr/>
      </w:pPr>
      <w:r>
        <w:rPr/>
        <mc:AlternateContent>
          <mc:Choice Requires="wps">
            <w:drawing>
              <wp:anchor behindDoc="0" distT="0" distB="0" distL="0" distR="0" simplePos="0" locked="0" layoutInCell="0" allowOverlap="1" relativeHeight="5">
                <wp:simplePos x="0" y="0"/>
                <wp:positionH relativeFrom="column">
                  <wp:posOffset>3627755</wp:posOffset>
                </wp:positionH>
                <wp:positionV relativeFrom="paragraph">
                  <wp:posOffset>148590</wp:posOffset>
                </wp:positionV>
                <wp:extent cx="2747010" cy="4397375"/>
                <wp:effectExtent l="0" t="0" r="0" b="0"/>
                <wp:wrapSquare wrapText="largest"/>
                <wp:docPr id="8"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0"/>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1"/>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v:textbox>
                <w10:wrap type="square" side="largest"/>
              </v:rect>
            </w:pict>
          </mc:Fallback>
        </mc:AlternateContent>
      </w:r>
    </w:p>
    <w:p>
      <w:pPr>
        <w:pStyle w:val="Normal"/>
        <w:bidi w:val="0"/>
        <w:ind w:hanging="0" w:start="0" w:end="0"/>
        <w:jc w:val="start"/>
        <w:rPr/>
      </w:pPr>
      <w:r>
        <w:rPr/>
        <w:t>From top to bottom (FUNC key modifier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Digits 0-9: Direct frequency entry</w:t>
      </w:r>
    </w:p>
    <w:p>
      <w:pPr>
        <w:pStyle w:val="Normal"/>
        <w:bidi w:val="0"/>
        <w:ind w:hanging="0" w:start="0" w:end="0"/>
        <w:jc w:val="start"/>
        <w:rPr/>
      </w:pPr>
      <w:r>
        <w:rPr>
          <w:b w:val="false"/>
          <w:bCs w:val="false"/>
        </w:rPr>
        <w:t>*: direct freq entry abort</w:t>
      </w:r>
    </w:p>
    <w:p>
      <w:pPr>
        <w:pStyle w:val="Normal"/>
        <w:bidi w:val="0"/>
        <w:ind w:hanging="0" w:start="0" w:end="0"/>
        <w:jc w:val="start"/>
        <w:rPr/>
      </w:pPr>
      <w:r>
        <w:rPr>
          <w:b w:val="false"/>
          <w:bCs w:val="false"/>
        </w:rPr>
        <w:t>#: Direct freq accept (enter)</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CHK</w:t>
      </w:r>
    </w:p>
    <w:p>
      <w:pPr>
        <w:pStyle w:val="Normal"/>
        <w:bidi w:val="0"/>
        <w:ind w:hanging="0" w:start="0" w:end="0"/>
        <w:jc w:val="start"/>
        <w:rPr/>
      </w:pPr>
      <w:r>
        <w:rPr>
          <w:b w:val="false"/>
          <w:bCs w:val="false"/>
        </w:rPr>
        <w:t xml:space="preserve">B: </w:t>
      </w:r>
      <w:r>
        <w:rPr>
          <w:b/>
          <w:bCs/>
        </w:rPr>
        <w:t>TONE</w:t>
      </w:r>
    </w:p>
    <w:p>
      <w:pPr>
        <w:pStyle w:val="Normal"/>
        <w:bidi w:val="0"/>
        <w:ind w:hanging="0" w:start="0" w:end="0"/>
        <w:jc w:val="start"/>
        <w:rPr/>
      </w:pPr>
      <w:r>
        <w:rPr>
          <w:b w:val="false"/>
          <w:bCs w:val="false"/>
        </w:rPr>
        <w:t xml:space="preserve">C: </w:t>
      </w:r>
      <w:r>
        <w:rPr>
          <w:b/>
          <w:bCs/>
        </w:rPr>
        <w:t>SUB</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635" distL="0" distR="0" simplePos="0" locked="0" layoutInCell="0" allowOverlap="1" relativeHeight="8">
                <wp:simplePos x="0" y="0"/>
                <wp:positionH relativeFrom="column">
                  <wp:posOffset>3627755</wp:posOffset>
                </wp:positionH>
                <wp:positionV relativeFrom="paragraph">
                  <wp:posOffset>148590</wp:posOffset>
                </wp:positionV>
                <wp:extent cx="2747010" cy="4676140"/>
                <wp:effectExtent l="0" t="0" r="0" b="0"/>
                <wp:wrapSquare wrapText="largest"/>
                <wp:docPr id="9" name="Frame3"/>
                <a:graphic xmlns:a="http://schemas.openxmlformats.org/drawingml/2006/main">
                  <a:graphicData uri="http://schemas.microsoft.com/office/word/2010/wordprocessingShape">
                    <wps:wsp>
                      <wps:cNvSpPr/>
                      <wps:spPr>
                        <a:xfrm>
                          <a:off x="0" y="0"/>
                          <a:ext cx="2747160" cy="467604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68.15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2"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pPr>
      <w:r>
        <w:rPr>
          <w:b w:val="false"/>
          <w:bCs w:val="false"/>
        </w:rPr>
        <w:t>2: n/a</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pPr>
      <w:r>
        <w:rPr>
          <w:b w:val="false"/>
          <w:bCs w:val="false"/>
        </w:rPr>
        <w:t>5: n/a</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pPr>
      <w:r>
        <w:rPr>
          <w:b w:val="false"/>
          <w:bCs w:val="false"/>
        </w:rPr>
        <w:t>0: n/a</w:t>
      </w:r>
    </w:p>
    <w:p>
      <w:pPr>
        <w:pStyle w:val="Normal"/>
        <w:bidi w:val="0"/>
        <w:ind w:hanging="0" w:start="0" w:end="0"/>
        <w:jc w:val="start"/>
        <w:rPr/>
      </w:pPr>
      <w:r>
        <w:rPr>
          <w:b w:val="false"/>
          <w:bCs w:val="false"/>
        </w:rPr>
        <w:t>#: n/a</w:t>
      </w:r>
    </w:p>
    <w:p>
      <w:pPr>
        <w:pStyle w:val="Normal"/>
        <w:bidi w:val="0"/>
        <w:ind w:hanging="0" w:start="0" w:end="0"/>
        <w:jc w:val="start"/>
        <w:rPr/>
      </w:pPr>
      <w:r>
        <w:rPr>
          <w:b w:val="false"/>
          <w:bCs w:val="false"/>
        </w:rPr>
        <w:t xml:space="preserve">D: </w:t>
      </w:r>
      <w:r>
        <w:rPr>
          <w:b/>
          <w:bCs/>
        </w:rPr>
        <w:t xml:space="preserve">PTTsub </w:t>
      </w:r>
      <w:r>
        <w:rPr>
          <w:b w:val="false"/>
          <w:bCs w:val="false"/>
        </w:rPr>
        <w:t>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software can differentiate press-release and press-hold actions on all of the key/button entry points.  Many buttons respond to both, while some respond to only one or neither.  Generally, an initial press will generate a “beep” at the beep/alert speaker (a piezoelectric speaker mounted inside the controller) if the button is supported.  Holding the button pressed for longer than approximately 1 second constitutes a “press-hold” and one or more additional beeps will be issued by the alert speaker (again, if the hold feature is supported for that button).  </w:t>
      </w:r>
      <w:r>
        <w:rPr>
          <w:b w:val="false"/>
          <w:bCs w:val="false"/>
          <w:i/>
          <w:iCs/>
          <w:sz w:val="24"/>
          <w:szCs w:val="24"/>
        </w:rPr>
        <w:t>Note: Buttons that have no function associated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The PTTsub mode is a feature that allows the operator to modify the radio behavior between transmit and receive operations.  The “problem” to be solved by this feature 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configured via the HM-133 interface.  The LCD frequency display will show the status of the mode as a scrolling text message when the HM-133 keys are activated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The IC900F behaves just like the IC900 and most all other dual-band radios, it does nothing in particular to the SUB or main band frequency selections in response to TX or RX transitions other than what the DUP setting dictates.</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Swap to the main call channel (the current slot, manually selected) on TX.  Returns to previous state (memory or VFO) on RX.  If the call channel is selected when pressing PTT, the radio will TX on the VFO/MEM.  If VFO/MEM are selected, the IC900F will TX on the CALL channel.</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Activates the sub call channel (the current slot, manually selected) on TX.  Returns the sub-band to previous state (memory or VFO) on RX.  In this mode, the TX frequency is determined by the DUP status and behaves as it normally would.  The only effect is that the sub-band CALL channel is toggled at the TX/RX transitions.</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  </w:t>
      </w:r>
      <w:r>
        <w:rPr>
          <w:b w:val="false"/>
          <w:bCs w:val="false"/>
          <w:i/>
          <w:iCs/>
        </w:rPr>
        <w:t>Note: thumbwheel mode only allows frequencies to be selected within the range of the currently selected band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Using the HM-133, press the numeric digits for the new frequency starting at the most significant digit proceeding to the 5KHz digit (any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  The new frequency will appear as it is entered on the display and will “slide to the left” as more digits are entered.  If an error is made, press “*” to abort and re-enter.  Once the frequency on the display is correct, press “#” to accept the new frequency.  </w:t>
      </w:r>
      <w:r>
        <w:rPr>
          <w:b w:val="false"/>
          <w:bCs w:val="false"/>
          <w:i/>
          <w:iCs/>
        </w:rPr>
        <w:t>Note: The new frequency may be any within the limits of the currently installed band modules – the controller will switch to the new module once the entry is accepted.  Frequencies entered for modules not installed will be ignored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  Generally, the performance of the ICOM modules outside the published operating frequency ranges results in very poor performance and is not recommended.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&lt;table1 goes here, listing band limits for each band&gt;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b w:val="false"/>
          <w:bCs w:val="false"/>
          <w:sz w:val="32"/>
          <w:szCs w:val="32"/>
        </w:rPr>
      </w:pPr>
      <w:r>
        <w:rPr>
          <w:b w:val="false"/>
          <w:bCs w:val="false"/>
          <w:sz w:val="32"/>
          <w:szCs w:val="32"/>
        </w:rPr>
        <w:t>Serial Communications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serial communications link to the IC900F is a standard RS-232 serial connection operating at 115.2 Kbaud, no parity, 8 data bits, and one stop bit.  The commands are human-readable and may be entered via a terminal emulator if the handshaking is set correctly.  A custom PC application has been deployed which simplifies the operation and allows some CAT (Computer Automated Transceiver) control capabilities.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For off-line data maintenance, a small adapter is provided that allows the IC900F to be powered by itself and a PC serial connection established.  In this scenario, the handshaking limits are not an issue.  This is intended for simple upload/download operations to configure the radio parameters and memories.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For now, the only viable interface is to use a terminal emulator and a USB RS-232 dongle to connect your PC to the IC900F.  TerraTerm is recommended as it is known to work with the IC900F command-line interface: </w:t>
      </w:r>
      <w:hyperlink r:id="rId14" w:tgtFrame="_blank">
        <w:r>
          <w:rPr>
            <w:rStyle w:val="Hyperlink"/>
            <w:i/>
            <w:i/>
            <w:iCs/>
          </w:rPr>
          <w:t>https://ttssh2.osdn.jp/</w:t>
        </w:r>
      </w:hyperlink>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When executing TerraTerm for the first time, select “Serial” and chose the com port associated with the USB dongle (some trial and error may be required). Under “Setup→Serial Port”, set the baud rate to 115200, 8 bit, Parity=none, Stop = 1, Flow control = none, Transmit delay = 1msec/char, 400 msec/line.  The COM port may also be selected in this dialog box.  Other settings should work well with the defaults.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Using the IC900_MEM_MAP0.xls spreadsheet (available at the github repo: </w:t>
      </w:r>
      <w:hyperlink r:id="rId15">
        <w:r>
          <w:rPr>
            <w:rStyle w:val="Hyperlink"/>
            <w:b w:val="false"/>
            <w:bCs w:val="false"/>
          </w:rPr>
          <w:t>https://github.com/ke0ff/IC900_DUClone/tree/main/UM</w:t>
        </w:r>
      </w:hyperlink>
      <w:r>
        <w:rPr>
          <w:b w:val="false"/>
          <w:bCs w:val="false"/>
        </w:rPr>
        <w:t>) edit the desired memories making sure to use all upper case characters for the STRING field.When finished, copy and paste the “command line (output) fields that were modified into a text file and save the file to convenient location on the PC hard drive.</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1433830"/>
                <wp:effectExtent l="0" t="0" r="0" b="0"/>
                <wp:wrapSquare wrapText="largest"/>
                <wp:docPr id="10" name="Frame6"/>
                <a:graphic xmlns:a="http://schemas.openxmlformats.org/drawingml/2006/main">
                  <a:graphicData uri="http://schemas.microsoft.com/office/word/2010/wordprocessingShape">
                    <wps:wsp>
                      <wps:cNvSpPr txBox="1"/>
                      <wps:spPr>
                        <a:xfrm>
                          <a:off x="0" y="0"/>
                          <a:ext cx="6332220" cy="1433830"/>
                        </a:xfrm>
                        <a:prstGeom prst="rect"/>
                        <a:solidFill>
                          <a:srgbClr val="FFFFFF"/>
                        </a:solidFill>
                      </wps:spPr>
                      <wps:txbx>
                        <w:txbxContent>
                          <w:p>
                            <w:pPr>
                              <w:pStyle w:val="Figure"/>
                              <w:spacing w:before="120" w:after="120"/>
                              <w:rPr/>
                            </w:pPr>
                            <w:r>
                              <w:rPr/>
                              <w:drawing>
                                <wp:inline distT="0" distB="0" distL="0" distR="0">
                                  <wp:extent cx="6332220" cy="1106170"/>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6"/>
                                          <a:stretch>
                                            <a:fillRect/>
                                          </a:stretch>
                                        </pic:blipFill>
                                        <pic:spPr bwMode="auto">
                                          <a:xfrm>
                                            <a:off x="0" y="0"/>
                                            <a:ext cx="6332220" cy="11061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Memory management spreadsheet excerpt</w:t>
                            </w:r>
                          </w:p>
                        </w:txbxContent>
                      </wps:txbx>
                      <wps:bodyPr anchor="t" lIns="0" tIns="0" rIns="0" bIns="0">
                        <a:noAutofit/>
                      </wps:bodyPr>
                    </wps:wsp>
                  </a:graphicData>
                </a:graphic>
              </wp:anchor>
            </w:drawing>
          </mc:Choice>
          <mc:Fallback>
            <w:pict>
              <v:rect style="position:absolute;rotation:-0;width:498.6pt;height:112.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110617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7"/>
                                    <a:stretch>
                                      <a:fillRect/>
                                    </a:stretch>
                                  </pic:blipFill>
                                  <pic:spPr bwMode="auto">
                                    <a:xfrm>
                                      <a:off x="0" y="0"/>
                                      <a:ext cx="6332220" cy="11061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Memory management spreadsheet excerpt</w:t>
                      </w:r>
                    </w:p>
                  </w:txbxContent>
                </v:textbox>
                <w10:wrap type="square" side="largest"/>
              </v:rect>
            </w:pict>
          </mc:Fallback>
        </mc:AlternateContent>
      </w:r>
    </w:p>
    <w:p>
      <w:pPr>
        <w:pStyle w:val="Normal"/>
        <w:bidi w:val="0"/>
        <w:ind w:hanging="0" w:start="0" w:end="0"/>
        <w:jc w:val="start"/>
        <w:rPr>
          <w:b w:val="false"/>
          <w:bCs w:val="false"/>
        </w:rPr>
      </w:pPr>
      <w:r>
        <w:rPr>
          <w:b w:val="false"/>
          <w:bCs w:val="false"/>
        </w:rPr>
        <w:t>To upload the memories, confirm that the IC900F is connected to TerraTerm by pressing the “?” key followed by &lt;ENTER&gt;.  You should see several lines of help screen text.  In TerraTerm, go to “File→ Send file…” and select the text file saved from the spreadsheet output.  The contents of the file should be visible as they are sent to the IC900F.  This process is rather slow and can take a couple of minutes to send the entire memory space.  Watch for “error” results in the terminal window.</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Consistent errors may indicate a problem with the output data.  Occasional errors may indicate that the delay timings are not high enough.  Under “Setup→Serial Port”, increase the msec/line value (in increments of 50).  If the errors persist beyond 500 msec/line, there may an issue with the spreadsheet or the data entry (the spreadsheet is supposed to provide error checking, but this has not been exhaustively tested).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memory data is stored in non-volatile memory and no other actions are necessary.  Disconnect the serial connection when finished uploading the memory data.</w:t>
      </w:r>
    </w:p>
    <w:p>
      <w:pPr>
        <w:pStyle w:val="Normal"/>
        <w:bidi w:val="0"/>
        <w:ind w:hanging="0" w:start="0" w:end="0"/>
        <w:jc w:val="start"/>
        <w:rPr>
          <w:b w:val="false"/>
          <w:bCs w:val="false"/>
        </w:rPr>
      </w:pPr>
      <w:r>
        <w:rPr>
          <w:b w:val="false"/>
          <w:bCs w:val="fals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roman"/>
    <w:pitch w:val="variable"/>
  </w:font>
</w:fonts>
</file>

<file path=word/settings.xml><?xml version="1.0" encoding="utf-8"?>
<w:settings xmlns:w="http://schemas.openxmlformats.org/wordprocessingml/2006/main">
  <w:zoom w:val="fullPage" w:percent="13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hyperlink" Target="https://www.bing.com/ck/a?!&amp;&amp;p=3e8cb6bb067ff2d8JmltdHM9MTcwNzQzNjgwMCZpZ3VpZD0zODZlY2Q2ZC0zMzRhLTZlMmYtMjg4NS1kOTc3Mzc0YTYwMWEmaW5zaWQ9NTU3MA&amp;ptn=3&amp;ver=2&amp;hsh=3&amp;fclid=386ecd6d-334a-6e2f-2885-d977374a601a&amp;psq=terraterm&amp;u=a1aHR0cHM6Ly90dHNzaDIub3Nkbi5qcC8&amp;ntb=1" TargetMode="External"/><Relationship Id="rId15" Type="http://schemas.openxmlformats.org/officeDocument/2006/relationships/hyperlink" Target="https://github.com/ke0ff/IC900_DUClone/tree/main/UM" TargetMode="External"/><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280</TotalTime>
  <Application>LibreOffice/7.6.4.1$Windows_X86_64 LibreOffice_project/e19e193f88cd6c0525a17fb7a176ed8e6a3e2aa1</Application>
  <AppVersion>15.0000</AppVersion>
  <Pages>11</Pages>
  <Words>3029</Words>
  <Characters>15263</Characters>
  <CharactersWithSpaces>18278</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dcterms:modified xsi:type="dcterms:W3CDTF">2024-02-09T22:01:51Z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