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0C" w:rsidRPr="005F200C" w:rsidRDefault="005F200C" w:rsidP="005F200C">
      <w:pPr>
        <w:jc w:val="center"/>
        <w:rPr>
          <w:rFonts w:ascii="Segoe UI" w:hAnsi="Segoe UI" w:cs="Segoe UI"/>
          <w:b/>
          <w:color w:val="373A3C"/>
          <w:sz w:val="24"/>
          <w:szCs w:val="24"/>
          <w:shd w:val="clear" w:color="auto" w:fill="F8F9FA"/>
        </w:rPr>
      </w:pPr>
      <w:r w:rsidRPr="005F200C">
        <w:rPr>
          <w:rFonts w:ascii="Segoe UI" w:hAnsi="Segoe UI" w:cs="Segoe UI"/>
          <w:b/>
          <w:color w:val="373A3C"/>
          <w:sz w:val="24"/>
          <w:szCs w:val="24"/>
          <w:shd w:val="clear" w:color="auto" w:fill="F8F9FA"/>
        </w:rPr>
        <w:t>Вопросы ОППС</w:t>
      </w:r>
    </w:p>
    <w:p w:rsidR="00727DC8" w:rsidRPr="005F200C" w:rsidRDefault="005F200C" w:rsidP="005F200C">
      <w:pPr>
        <w:ind w:left="-426"/>
        <w:rPr>
          <w:rFonts w:ascii="Segoe UI" w:hAnsi="Segoe UI" w:cs="Segoe UI"/>
          <w:color w:val="373A3C"/>
          <w:sz w:val="24"/>
          <w:szCs w:val="24"/>
          <w:shd w:val="clear" w:color="auto" w:fill="F8F9FA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</w:t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Иерархический принцип построения РЭС.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2. Сущность процесса конструирования.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3. Формальные и неформальные методы конструирования.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4. Требования к конструкции РЭС. Общая характеристика.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5. Изделия. Классификация изделий.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6. Конструкторская документация. Классификация конструкторской документации.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7. Обозначение изделий и конструкторских документов.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8. Схемная конструкторская документация.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9. Стадии разработки конструкторской документации.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10. Структурные уровни и элементный базис.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11. Электромонтаж. Классификация методов электромонтажа.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 xml:space="preserve">12. Печатный ЭМ. Материалы для </w:t>
      </w:r>
      <w:proofErr w:type="gramStart"/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печатного</w:t>
      </w:r>
      <w:proofErr w:type="gramEnd"/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 xml:space="preserve"> ЭМ.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13. Методы изготовления односторонних и двухсторонних печатных плат.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14. Методы изготовления многослойных печатных плат.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15. Последовательность конструирования ПП. Классы точности ПП.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16. Выбор и размещение элементов печатного рисунка.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17. Оформление КД на ПП. Общие требования.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18. Изображение на чертеже ПП элементов печатного рисунка. Технические требования на чертеже.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19. Требования к установке навесных элементов на ПП.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20. Варианты установки навесных элементов на ПП.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21. Оформление сборочных чертежей на печатный узел.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22. Элементы первого структурного уровня. Особенности конструкции и электромонтажа.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23. Блоки. Особенности конструкции и электромонтажа.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24. Системы несущих конструкций РЭС. «</w:t>
      </w:r>
      <w:proofErr w:type="spellStart"/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Евромеханика</w:t>
      </w:r>
      <w:proofErr w:type="spellEnd"/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».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 xml:space="preserve">25. Разновидности </w:t>
      </w:r>
      <w:proofErr w:type="gramStart"/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объемного</w:t>
      </w:r>
      <w:proofErr w:type="gramEnd"/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 xml:space="preserve"> ЭМ.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26. Общие требования к выполнению объемного монтажа.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27. Поверхностный ЭМ.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28. Герметизация. Классификация методов герметизации.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29. Частичная герметизация. Методы.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30. Разъемная и неразъемная полная герметизация.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31. Ограниченно-разъемная и локальная методы герметизации.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32. Покрытия. Классификация покрытий.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33. Характеристика распространенных металлических и неметаллических покрытий.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34. Обозначение покрытий. Выбор покрытий.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35. ЛКП. Основные материалы. Классификация ЛКП.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36. Обозначение ЛКП, выбор ЛКП.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37. Лакокрасочные материалы.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lastRenderedPageBreak/>
        <w:t>38. Влияние механических воздействий на конструкцию РЭС.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39. Механические резонансы в конструкциях.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40. Расчетные модели конструкций РЭС.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41. Силовое и кинематическое возбуждение конструкции.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42. Виброизоляция.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43. Амортизаторы. Основные параметры. Конструктивные и динамические особенности.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44. Проектирование системы виброизоляции.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45. Обеспечение жесткости и прочности элементов конструкции РЭС.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46. Резонансная частота печатного узла.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47. Фиксация резьбовых соединений.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48. Понятие надежности конструкции. Основные определения.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49. Показатели надежности и их взаимосвязь.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50. Законы распределения непрерывных и дискретных случайных величин.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51. Методика расчета надежности сложных невосстанавливаемых изделий.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52. Расчет надежности восстанавливаемых изделий.</w:t>
      </w:r>
      <w:r w:rsidRPr="005F200C">
        <w:rPr>
          <w:rFonts w:ascii="Segoe UI" w:hAnsi="Segoe UI" w:cs="Segoe UI"/>
          <w:color w:val="373A3C"/>
          <w:sz w:val="24"/>
          <w:szCs w:val="24"/>
        </w:rPr>
        <w:br/>
      </w:r>
      <w:r w:rsidRPr="005F200C">
        <w:rPr>
          <w:rFonts w:ascii="Segoe UI" w:hAnsi="Segoe UI" w:cs="Segoe UI"/>
          <w:color w:val="373A3C"/>
          <w:sz w:val="24"/>
          <w:szCs w:val="24"/>
          <w:shd w:val="clear" w:color="auto" w:fill="F8F9FA"/>
        </w:rPr>
        <w:t>53. Резервирование изделий.</w:t>
      </w:r>
    </w:p>
    <w:p w:rsidR="005F200C" w:rsidRDefault="005F200C" w:rsidP="005F200C">
      <w:pPr>
        <w:ind w:hanging="786"/>
        <w:rPr>
          <w:sz w:val="24"/>
          <w:szCs w:val="24"/>
        </w:rPr>
      </w:pPr>
    </w:p>
    <w:p w:rsidR="005F200C" w:rsidRDefault="005F200C" w:rsidP="005F200C">
      <w:pPr>
        <w:ind w:hanging="786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САПР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Виды обеспечения САПР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 .</w:t>
      </w:r>
      <w:proofErr w:type="gramEnd"/>
      <w:r w:rsidRPr="005F200C">
        <w:rPr>
          <w:rFonts w:ascii="Segoe UI" w:hAnsi="Segoe UI" w:cs="Segoe UI"/>
          <w:color w:val="373A3C"/>
          <w:szCs w:val="21"/>
        </w:rPr>
        <w:t>Программное обеспечение САПР.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2.Виды обеспечения САПР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 .</w:t>
      </w:r>
      <w:proofErr w:type="gramEnd"/>
      <w:r w:rsidRPr="005F200C">
        <w:rPr>
          <w:rFonts w:ascii="Segoe UI" w:hAnsi="Segoe UI" w:cs="Segoe UI"/>
          <w:color w:val="373A3C"/>
          <w:szCs w:val="21"/>
        </w:rPr>
        <w:t>Информационное обеспечение САПР.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3.Виды обеспечения САПР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 .</w:t>
      </w:r>
      <w:proofErr w:type="gramEnd"/>
      <w:r w:rsidRPr="005F200C">
        <w:rPr>
          <w:rFonts w:ascii="Segoe UI" w:hAnsi="Segoe UI" w:cs="Segoe UI"/>
          <w:color w:val="373A3C"/>
          <w:szCs w:val="21"/>
        </w:rPr>
        <w:t>Методическое обеспечение САПР.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4.Виды обеспечения САПР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 .</w:t>
      </w:r>
      <w:proofErr w:type="gramEnd"/>
      <w:r w:rsidRPr="005F200C">
        <w:rPr>
          <w:rFonts w:ascii="Segoe UI" w:hAnsi="Segoe UI" w:cs="Segoe UI"/>
          <w:color w:val="373A3C"/>
          <w:szCs w:val="21"/>
        </w:rPr>
        <w:t>Математическое обеспечение САПР.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5.Виды обеспечения САПР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 .</w:t>
      </w:r>
      <w:proofErr w:type="gramEnd"/>
      <w:r w:rsidRPr="005F200C">
        <w:rPr>
          <w:rFonts w:ascii="Segoe UI" w:hAnsi="Segoe UI" w:cs="Segoe UI"/>
          <w:color w:val="373A3C"/>
          <w:szCs w:val="21"/>
        </w:rPr>
        <w:t>Лингвистическое обеспечение САПР.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6.Виды обеспечения САПР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 .</w:t>
      </w:r>
      <w:proofErr w:type="gramEnd"/>
      <w:r w:rsidRPr="005F200C">
        <w:rPr>
          <w:rFonts w:ascii="Segoe UI" w:hAnsi="Segoe UI" w:cs="Segoe UI"/>
          <w:color w:val="373A3C"/>
          <w:szCs w:val="21"/>
        </w:rPr>
        <w:t>Организационное обеспечение САПР.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7.Виды обеспечения САПР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 .</w:t>
      </w:r>
      <w:proofErr w:type="gramEnd"/>
      <w:r w:rsidRPr="005F200C">
        <w:rPr>
          <w:rFonts w:ascii="Segoe UI" w:hAnsi="Segoe UI" w:cs="Segoe UI"/>
          <w:color w:val="373A3C"/>
          <w:szCs w:val="21"/>
        </w:rPr>
        <w:t>Техническое обеспечение САПР.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8.Задачи, решаемые в САПР. Задачи анализа.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9.Задачи, решаемые в САПР. Задачи синтеза.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10.Этапы проектирования РЭС. Функциональный этап.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11. Этапы проектирования РЭС. Схемотехнический этап.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12.Этапы проектирования РЭС. Конструкторский  этап (M-CAD).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13.Этапы проектирования РЭС. Конструкторский  этап (E-CAD).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14.Этапы проектирования РЭС. Технологический этап (CAM-ECAD).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15.Этапы проектирования РЭС. Технологический  этап (CAM-МCAD).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>16.Алгоритмы покрытия функциональных схем модулями заданного набор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>а(</w:t>
      </w:r>
      <w:proofErr w:type="gramEnd"/>
      <w:r w:rsidRPr="005F200C">
        <w:rPr>
          <w:rFonts w:ascii="Segoe UI" w:hAnsi="Segoe UI" w:cs="Segoe UI"/>
          <w:color w:val="373A3C"/>
          <w:szCs w:val="21"/>
        </w:rPr>
        <w:t>+ пример).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 xml:space="preserve">17.Алгоритмы компоновки 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( </w:t>
      </w:r>
      <w:proofErr w:type="gramEnd"/>
      <w:r w:rsidRPr="005F200C">
        <w:rPr>
          <w:rFonts w:ascii="Segoe UI" w:hAnsi="Segoe UI" w:cs="Segoe UI"/>
          <w:color w:val="373A3C"/>
          <w:szCs w:val="21"/>
        </w:rPr>
        <w:t>пример (разрезание графа)).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proofErr w:type="gramStart"/>
      <w:r w:rsidRPr="005F200C">
        <w:rPr>
          <w:rFonts w:ascii="Segoe UI" w:hAnsi="Segoe UI" w:cs="Segoe UI"/>
          <w:color w:val="373A3C"/>
          <w:szCs w:val="21"/>
        </w:rPr>
        <w:t>18.Алгоритмы размещения (Постановка задачи.</w:t>
      </w:r>
      <w:proofErr w:type="gramEnd"/>
      <w:r w:rsidRPr="005F200C">
        <w:rPr>
          <w:rFonts w:ascii="Segoe UI" w:hAnsi="Segoe UI" w:cs="Segoe UI"/>
          <w:color w:val="373A3C"/>
          <w:szCs w:val="21"/>
        </w:rPr>
        <w:t xml:space="preserve"> Непрерывно-дискретные алгоритмы).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proofErr w:type="gramStart"/>
      <w:r w:rsidRPr="005F200C">
        <w:rPr>
          <w:rFonts w:ascii="Segoe UI" w:hAnsi="Segoe UI" w:cs="Segoe UI"/>
          <w:color w:val="373A3C"/>
          <w:szCs w:val="21"/>
        </w:rPr>
        <w:t>19.Алгоритмы размещения (Постановка задачи.</w:t>
      </w:r>
      <w:proofErr w:type="gramEnd"/>
      <w:r w:rsidRPr="005F200C">
        <w:rPr>
          <w:rFonts w:ascii="Segoe UI" w:hAnsi="Segoe UI" w:cs="Segoe UI"/>
          <w:color w:val="373A3C"/>
          <w:szCs w:val="21"/>
        </w:rPr>
        <w:t xml:space="preserve"> 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>Дискретные алгоритмы).</w:t>
      </w:r>
      <w:proofErr w:type="gramEnd"/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proofErr w:type="gramStart"/>
      <w:r w:rsidRPr="005F200C">
        <w:rPr>
          <w:rFonts w:ascii="Segoe UI" w:hAnsi="Segoe UI" w:cs="Segoe UI"/>
          <w:color w:val="373A3C"/>
          <w:szCs w:val="21"/>
        </w:rPr>
        <w:t>20.Алгоритмы трассировки  (Постановка задачи.</w:t>
      </w:r>
      <w:proofErr w:type="gramEnd"/>
      <w:r w:rsidRPr="005F200C">
        <w:rPr>
          <w:rFonts w:ascii="Segoe UI" w:hAnsi="Segoe UI" w:cs="Segoe UI"/>
          <w:color w:val="373A3C"/>
          <w:szCs w:val="21"/>
        </w:rPr>
        <w:t xml:space="preserve"> Сеточный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 )</w:t>
      </w:r>
      <w:proofErr w:type="gramEnd"/>
      <w:r w:rsidRPr="005F200C">
        <w:rPr>
          <w:rFonts w:ascii="Segoe UI" w:hAnsi="Segoe UI" w:cs="Segoe UI"/>
          <w:color w:val="373A3C"/>
          <w:szCs w:val="21"/>
        </w:rPr>
        <w:t>.</w:t>
      </w:r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color w:val="373A3C"/>
          <w:szCs w:val="21"/>
        </w:rPr>
        <w:t xml:space="preserve">21. 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>Алгоритмы трассировки  (Постановка задачи.</w:t>
      </w:r>
      <w:proofErr w:type="gramEnd"/>
      <w:r w:rsidRPr="005F200C">
        <w:rPr>
          <w:rFonts w:ascii="Segoe UI" w:hAnsi="Segoe UI" w:cs="Segoe UI"/>
          <w:color w:val="373A3C"/>
          <w:szCs w:val="21"/>
        </w:rPr>
        <w:t xml:space="preserve"> 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>Без сеточный).</w:t>
      </w:r>
      <w:proofErr w:type="gramEnd"/>
    </w:p>
    <w:p w:rsidR="005F200C" w:rsidRPr="005F200C" w:rsidRDefault="005F200C" w:rsidP="005F200C">
      <w:pPr>
        <w:pStyle w:val="a4"/>
        <w:shd w:val="clear" w:color="auto" w:fill="F8F9FA"/>
        <w:spacing w:before="0" w:beforeAutospacing="0" w:after="0" w:afterAutospacing="0"/>
        <w:ind w:hanging="786"/>
        <w:rPr>
          <w:rFonts w:ascii="Segoe UI" w:hAnsi="Segoe UI" w:cs="Segoe UI"/>
          <w:color w:val="373A3C"/>
          <w:szCs w:val="21"/>
        </w:rPr>
      </w:pPr>
      <w:r w:rsidRPr="005F200C">
        <w:rPr>
          <w:rFonts w:ascii="Segoe UI" w:hAnsi="Segoe UI" w:cs="Segoe UI"/>
          <w:i/>
          <w:iCs/>
          <w:color w:val="373A3C"/>
          <w:szCs w:val="21"/>
        </w:rPr>
        <w:t> 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>22.Алгоритмы трассировки  (Постановка задачи.</w:t>
      </w:r>
      <w:proofErr w:type="gramEnd"/>
      <w:r w:rsidRPr="005F200C">
        <w:rPr>
          <w:rFonts w:ascii="Segoe UI" w:hAnsi="Segoe UI" w:cs="Segoe UI"/>
          <w:color w:val="373A3C"/>
          <w:szCs w:val="21"/>
        </w:rPr>
        <w:t xml:space="preserve"> Топологический</w:t>
      </w:r>
      <w:proofErr w:type="gramStart"/>
      <w:r w:rsidRPr="005F200C">
        <w:rPr>
          <w:rFonts w:ascii="Segoe UI" w:hAnsi="Segoe UI" w:cs="Segoe UI"/>
          <w:color w:val="373A3C"/>
          <w:szCs w:val="21"/>
        </w:rPr>
        <w:t xml:space="preserve"> )</w:t>
      </w:r>
      <w:proofErr w:type="gramEnd"/>
      <w:r w:rsidRPr="005F200C">
        <w:rPr>
          <w:rFonts w:ascii="Segoe UI" w:hAnsi="Segoe UI" w:cs="Segoe UI"/>
          <w:color w:val="373A3C"/>
          <w:szCs w:val="21"/>
        </w:rPr>
        <w:t>.</w:t>
      </w:r>
    </w:p>
    <w:p w:rsidR="005F200C" w:rsidRPr="005F200C" w:rsidRDefault="005F200C" w:rsidP="005F200C">
      <w:pPr>
        <w:ind w:left="-709"/>
        <w:rPr>
          <w:sz w:val="24"/>
          <w:szCs w:val="24"/>
        </w:rPr>
      </w:pPr>
    </w:p>
    <w:sectPr w:rsidR="005F200C" w:rsidRPr="005F200C" w:rsidSect="005F200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A61"/>
    <w:multiLevelType w:val="hybridMultilevel"/>
    <w:tmpl w:val="3AE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0C"/>
    <w:rsid w:val="005449B9"/>
    <w:rsid w:val="005F200C"/>
    <w:rsid w:val="00E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0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594</Words>
  <Characters>3388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Люба</cp:lastModifiedBy>
  <cp:revision>1</cp:revision>
  <dcterms:created xsi:type="dcterms:W3CDTF">2020-06-21T07:13:00Z</dcterms:created>
  <dcterms:modified xsi:type="dcterms:W3CDTF">2020-06-21T07:19:00Z</dcterms:modified>
</cp:coreProperties>
</file>