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" from=".05pt,-.2pt" to="359.35pt,-.2pt" o:allowincell="f" strokeweight=".84pt"/>
        </w:pict>
      </w:r>
      <w:r>
        <w:rPr>
          <w:noProof/>
        </w:rPr>
        <w:pict>
          <v:line id="_x0000_s1028" style="position:absolute;z-index:-251656192" from="19pt,37.25pt" to="31.35pt,37.25pt" o:allowincell="f" strokecolor="#f0240e" strokeweight=".25069mm"/>
        </w:pict>
      </w:r>
      <w:r>
        <w:rPr>
          <w:noProof/>
        </w:rPr>
        <w:pict>
          <v:line id="_x0000_s1029" style="position:absolute;z-index:-251655168" from="19pt,46.85pt" to="31.35pt,46.85pt" o:allowincell="f" strokecolor="#339" strokeweight=".25069mm"/>
        </w:pict>
      </w:r>
      <w:r>
        <w:rPr>
          <w:noProof/>
        </w:rPr>
        <w:pict>
          <v:line id="_x0000_s1030" style="position:absolute;z-index:-251654144" from="19pt,27.65pt" to="31.35pt,27.65pt" o:allowincell="f" strokecolor="#090" strokeweight=".25069mm"/>
        </w:pict>
      </w:r>
      <w:r>
        <w:rPr>
          <w:noProof/>
        </w:rPr>
        <w:pict>
          <v:line id="_x0000_s1031" style="position:absolute;z-index:-251653120" from="19pt,56.45pt" to="31.35pt,56.45pt" o:allowincell="f" strokecolor="#c09" strokeweight=".25069mm"/>
        </w:pict>
      </w:r>
      <w:r>
        <w:rPr>
          <w:noProof/>
        </w:rPr>
        <w:pict>
          <v:line id="_x0000_s1032" style="position:absolute;z-index:-251652096" from="11.55pt,11.1pt" to="11.55pt,61.4pt" o:allowincell="f" strokeweight=".1253mm"/>
        </w:pict>
      </w:r>
      <w:r>
        <w:rPr>
          <w:noProof/>
        </w:rPr>
        <w:pict>
          <v:line id="_x0000_s1033" style="position:absolute;z-index:-251651072" from="11.55pt,61.4pt" to="106.85pt,61.4pt" o:allowincell="f" strokeweight=".1253mm"/>
        </w:pict>
      </w:r>
      <w:r>
        <w:rPr>
          <w:noProof/>
        </w:rPr>
        <w:pict>
          <v:line id="_x0000_s1034" style="position:absolute;z-index:-251650048" from="106.85pt,11.1pt" to="106.85pt,61.4pt" o:allowincell="f" strokeweight=".1253mm"/>
        </w:pict>
      </w:r>
      <w:r>
        <w:rPr>
          <w:noProof/>
        </w:rPr>
        <w:pict>
          <v:line id="_x0000_s1035" style="position:absolute;z-index:-251649024" from="11.55pt,11.1pt" to="106.85pt,11.1pt" o:allowincell="f" strokeweight=".1253mm"/>
        </w:pic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LEGEND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1"/>
          <w:szCs w:val="11"/>
        </w:rPr>
        <w:t>program</w:t>
      </w:r>
      <w:proofErr w:type="gramEnd"/>
      <w:r>
        <w:rPr>
          <w:rFonts w:ascii="Arial" w:hAnsi="Arial" w:cs="Arial"/>
          <w:sz w:val="11"/>
          <w:szCs w:val="11"/>
        </w:rPr>
        <w:t xml:space="preserve"> data accesses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"/>
        <w:gridCol w:w="940"/>
        <w:gridCol w:w="300"/>
        <w:gridCol w:w="780"/>
        <w:gridCol w:w="1380"/>
        <w:gridCol w:w="440"/>
        <w:gridCol w:w="160"/>
        <w:gridCol w:w="440"/>
        <w:gridCol w:w="700"/>
        <w:gridCol w:w="88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29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1"/>
                <w:szCs w:val="11"/>
              </w:rPr>
              <w:t>data movement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92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1"/>
                <w:szCs w:val="11"/>
              </w:rPr>
              <w:t>MRAPI API calls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92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1"/>
                <w:szCs w:val="11"/>
              </w:rPr>
              <w:t>MRAPI implementation activity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9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12"/>
                <w:szCs w:val="12"/>
              </w:rPr>
              <w:t>hardware/implementation  specific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79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391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DMA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49"/>
        </w:trPr>
        <w:tc>
          <w:tcPr>
            <w:tcW w:w="15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local memory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Engine</w:t>
            </w:r>
          </w:p>
        </w:tc>
        <w:tc>
          <w:tcPr>
            <w:tcW w:w="19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local memory</w:t>
            </w: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local memory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88"/>
        </w:trPr>
        <w:tc>
          <w:tcPr>
            <w:tcW w:w="15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300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5"/>
                <w:sz w:val="14"/>
                <w:szCs w:val="14"/>
              </w:rPr>
              <w:t>SW Cache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86"/>
        </w:trPr>
        <w:tc>
          <w:tcPr>
            <w:tcW w:w="15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4"/>
                <w:szCs w:val="14"/>
              </w:rPr>
              <w:t>rmem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local</w:t>
            </w: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local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55"/>
        </w:trPr>
        <w:tc>
          <w:tcPr>
            <w:tcW w:w="15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buffer</w:t>
            </w: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132"/>
        </w:trPr>
        <w:tc>
          <w:tcPr>
            <w:tcW w:w="15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60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buffer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buffer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29"/>
        </w:trPr>
        <w:tc>
          <w:tcPr>
            <w:tcW w:w="15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34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80" w:type="dxa"/>
          <w:trHeight w:val="503"/>
        </w:trPr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</w:rPr>
              <w:t>native rd/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</w:rPr>
              <w:t>wr</w:t>
            </w:r>
            <w:proofErr w:type="spellEnd"/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</w:rPr>
              <w:t>native rd/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</w:rPr>
              <w:t>wr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13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line id="_x0000_s1036" style="position:absolute;left:0;text-align:left;z-index:-251648000;mso-position-horizontal-relative:text;mso-position-vertical-relative:text" from="109.25pt,-75.2pt" to="109.25pt,-75.2pt" o:allowincell="f" strokeweight=".1253mm"/>
              </w:pict>
            </w:r>
            <w:r>
              <w:rPr>
                <w:noProof/>
              </w:rPr>
              <w:pict>
                <v:line id="_x0000_s1037" style="position:absolute;left:0;text-align:left;z-index:-251646976;mso-position-horizontal-relative:text;mso-position-vertical-relative:text" from="241.85pt,-75.2pt" to="241.85pt,-75.2pt" o:allowincell="f" strokeweight=".1253mm"/>
              </w:pict>
            </w:r>
            <w:r>
              <w:rPr>
                <w:noProof/>
              </w:rPr>
              <w:pict>
                <v:line id="_x0000_s1038" style="position:absolute;left:0;text-align:left;z-index:-251645952;mso-position-horizontal-relative:text;mso-position-vertical-relative:text" from="316.95pt,-75.2pt" to="316.95pt,-75.2pt" o:allowincell="f" strokeweight=".1253mm"/>
              </w:pict>
            </w:r>
            <w:r w:rsidR="00A56382">
              <w:rPr>
                <w:noProof/>
              </w:rPr>
              <w:drawing>
                <wp:anchor distT="0" distB="0" distL="114300" distR="114300" simplePos="0" relativeHeight="251671552" behindDoc="1" locked="0" layoutInCell="0" allowOverlap="1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-1181735</wp:posOffset>
                  </wp:positionV>
                  <wp:extent cx="3931920" cy="2207260"/>
                  <wp:effectExtent l="1905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2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i/>
                <w:iCs/>
                <w:sz w:val="12"/>
                <w:szCs w:val="12"/>
              </w:rPr>
              <w:t>native rd/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</w:rPr>
              <w:t>wr</w:t>
            </w:r>
            <w:proofErr w:type="spellEnd"/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MRAPI API rd/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wr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7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12"/>
                <w:szCs w:val="12"/>
              </w:rPr>
              <w:t>MRAPI API rd/</w:t>
            </w:r>
            <w:proofErr w:type="spellStart"/>
            <w:r>
              <w:rPr>
                <w:rFonts w:ascii="Arial" w:hAnsi="Arial" w:cs="Arial"/>
                <w:w w:val="96"/>
                <w:sz w:val="12"/>
                <w:szCs w:val="12"/>
              </w:rPr>
              <w:t>wr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39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67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ptr</w:t>
            </w:r>
            <w:proofErr w:type="spellEnd"/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14"/>
                <w:szCs w:val="14"/>
              </w:rPr>
              <w:t>mrapi_rmem_handle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mrapi_rmem_handle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30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node0</w:t>
            </w:r>
          </w:p>
        </w:tc>
        <w:tc>
          <w:tcPr>
            <w:tcW w:w="24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node1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ptr</w:t>
            </w:r>
            <w:proofErr w:type="spellEnd"/>
          </w:p>
        </w:tc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ptr</w:t>
            </w:r>
            <w:proofErr w:type="spellEnd"/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node2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72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core0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core1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core2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40" w:type="dxa"/>
          <w:trHeight w:val="683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18"/>
                <w:szCs w:val="18"/>
              </w:rPr>
              <w:t>Figure 1 - Remote Memory Concepts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72B1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40" style="position:absolute;z-index:-251643904;mso-position-horizontal-relative:text;mso-position-vertical-relative:text" from="250.85pt,-46.6pt" to="250.85pt,-46.6pt" o:allowincell="f" strokeweight=".1253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346.85pt,-85.6pt" to="346.85pt,-85.6pt" o:allowincell="f" strokeweight=".1253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49.25pt,-52.6pt" to="49.25pt,-52.6pt" o:allowincell="f" strokeweight=".1253mm"/>
        </w:pict>
      </w:r>
      <w:r>
        <w:rPr>
          <w:noProof/>
        </w:rPr>
        <w:pict>
          <v:line id="_x0000_s1043" style="position:absolute;z-index:-251640832;mso-position-horizontal-relative:text;mso-position-vertical-relative:text" from="103.25pt,-85.6pt" to="103.25pt,-85.6pt" o:allowincell="f" strokeweight=".1253mm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143.1pt,-46.6pt" to="143.1pt,-46.6pt" o:allowincell="f" strokeweight=".1253mm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238.75pt,-85.6pt" to="238.75pt,-85.6pt" o:allowincell="f" strokeweight=".1253mm"/>
        </w:pict>
      </w:r>
    </w:p>
    <w:p w:rsidR="00000000" w:rsidRDefault="00A72B1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Figure 1 depicts the remote memory concepts in MRAPI. Access semantics are per </w:t>
      </w:r>
      <w:proofErr w:type="spellStart"/>
      <w:r>
        <w:rPr>
          <w:rFonts w:ascii="Arial" w:hAnsi="Arial" w:cs="Arial"/>
          <w:sz w:val="16"/>
          <w:szCs w:val="16"/>
        </w:rPr>
        <w:t>rmem</w:t>
      </w:r>
      <w:proofErr w:type="spellEnd"/>
      <w:r>
        <w:rPr>
          <w:rFonts w:ascii="Arial" w:hAnsi="Arial" w:cs="Arial"/>
          <w:sz w:val="16"/>
          <w:szCs w:val="16"/>
        </w:rPr>
        <w:t xml:space="preserve"> buffer instance, as follows: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5" w:lineRule="auto"/>
        <w:ind w:left="580" w:hanging="290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Strict </w:t>
      </w:r>
      <w:r>
        <w:rPr>
          <w:rFonts w:ascii="Arial" w:hAnsi="Arial" w:cs="Arial"/>
          <w:sz w:val="16"/>
          <w:szCs w:val="16"/>
        </w:rPr>
        <w:t xml:space="preserve">semantics: the type of MRAPI access </w:t>
      </w:r>
      <w:proofErr w:type="gramStart"/>
      <w:r>
        <w:rPr>
          <w:rFonts w:ascii="Arial" w:hAnsi="Arial" w:cs="Arial"/>
          <w:sz w:val="16"/>
          <w:szCs w:val="16"/>
        </w:rPr>
        <w:t>{ DMA</w:t>
      </w:r>
      <w:proofErr w:type="gram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sw</w:t>
      </w:r>
      <w:proofErr w:type="spellEnd"/>
      <w:r>
        <w:rPr>
          <w:rFonts w:ascii="Arial" w:hAnsi="Arial" w:cs="Arial"/>
          <w:sz w:val="16"/>
          <w:szCs w:val="16"/>
        </w:rPr>
        <w:t xml:space="preserve"> cache, … }</w:t>
      </w:r>
      <w:r>
        <w:rPr>
          <w:rFonts w:ascii="Arial" w:hAnsi="Arial" w:cs="Arial"/>
          <w:sz w:val="16"/>
          <w:szCs w:val="16"/>
        </w:rPr>
        <w:t xml:space="preserve"> is defined at the time a </w:t>
      </w:r>
      <w:proofErr w:type="spellStart"/>
      <w:r>
        <w:rPr>
          <w:rFonts w:ascii="Arial" w:hAnsi="Arial" w:cs="Arial"/>
          <w:sz w:val="16"/>
          <w:szCs w:val="16"/>
        </w:rPr>
        <w:t>rmem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buffer is created. All MRAPI accesses to that </w:t>
      </w:r>
      <w:proofErr w:type="spellStart"/>
      <w:r>
        <w:rPr>
          <w:rFonts w:ascii="Arial" w:hAnsi="Arial" w:cs="Arial"/>
          <w:sz w:val="16"/>
          <w:szCs w:val="16"/>
        </w:rPr>
        <w:t>rmem</w:t>
      </w:r>
      <w:proofErr w:type="spellEnd"/>
      <w:r>
        <w:rPr>
          <w:rFonts w:ascii="Arial" w:hAnsi="Arial" w:cs="Arial"/>
          <w:sz w:val="16"/>
          <w:szCs w:val="16"/>
        </w:rPr>
        <w:t xml:space="preserve"> buffer must be of a uniform type. Each client of the buffer specifies an access type when on the get call and it is an error to request an access type other than that which w</w:t>
      </w:r>
      <w:r>
        <w:rPr>
          <w:rFonts w:ascii="Arial" w:hAnsi="Arial" w:cs="Arial"/>
          <w:sz w:val="16"/>
          <w:szCs w:val="16"/>
        </w:rPr>
        <w:t xml:space="preserve">as used to create the buffer. 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61" w:lineRule="exact"/>
        <w:rPr>
          <w:rFonts w:ascii="Symbol" w:hAnsi="Symbol" w:cs="Symbol"/>
          <w:sz w:val="16"/>
          <w:szCs w:val="16"/>
        </w:rPr>
      </w:pPr>
    </w:p>
    <w:p w:rsidR="00000000" w:rsidRDefault="00A72B1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29" w:lineRule="auto"/>
        <w:ind w:left="580" w:right="60" w:hanging="290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Any </w:t>
      </w:r>
      <w:r>
        <w:rPr>
          <w:rFonts w:ascii="Arial" w:hAnsi="Arial" w:cs="Arial"/>
          <w:sz w:val="16"/>
          <w:szCs w:val="16"/>
        </w:rPr>
        <w:t xml:space="preserve">semantics: the type of MRAPI access {DMA, </w:t>
      </w:r>
      <w:proofErr w:type="spellStart"/>
      <w:r>
        <w:rPr>
          <w:rFonts w:ascii="Arial" w:hAnsi="Arial" w:cs="Arial"/>
          <w:sz w:val="16"/>
          <w:szCs w:val="16"/>
        </w:rPr>
        <w:t>sw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cache, …}</w:t>
      </w:r>
      <w:proofErr w:type="gramEnd"/>
      <w:r>
        <w:rPr>
          <w:rFonts w:ascii="Arial" w:hAnsi="Arial" w:cs="Arial"/>
          <w:sz w:val="16"/>
          <w:szCs w:val="16"/>
        </w:rPr>
        <w:t xml:space="preserve"> is set to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MRAPI_RMEM_ATYPE_ANY </w:t>
      </w:r>
      <w:r>
        <w:rPr>
          <w:rFonts w:ascii="Arial" w:hAnsi="Arial" w:cs="Arial"/>
          <w:sz w:val="16"/>
          <w:szCs w:val="16"/>
        </w:rPr>
        <w:t xml:space="preserve">at the time the </w:t>
      </w:r>
      <w:proofErr w:type="spellStart"/>
      <w:r>
        <w:rPr>
          <w:rFonts w:ascii="Arial" w:hAnsi="Arial" w:cs="Arial"/>
          <w:sz w:val="16"/>
          <w:szCs w:val="16"/>
        </w:rPr>
        <w:t>rmem</w:t>
      </w:r>
      <w:proofErr w:type="spellEnd"/>
      <w:r>
        <w:rPr>
          <w:rFonts w:ascii="Arial" w:hAnsi="Arial" w:cs="Arial"/>
          <w:sz w:val="16"/>
          <w:szCs w:val="16"/>
        </w:rPr>
        <w:t xml:space="preserve"> buffer is created. When </w:t>
      </w:r>
      <w:proofErr w:type="gramStart"/>
      <w:r>
        <w:rPr>
          <w:rFonts w:ascii="Arial" w:hAnsi="Arial" w:cs="Arial"/>
          <w:sz w:val="16"/>
          <w:szCs w:val="16"/>
        </w:rPr>
        <w:t>a client handle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attaches it may specify any access type supported by the MRAPI impleme</w:t>
      </w:r>
      <w:r>
        <w:rPr>
          <w:rFonts w:ascii="Arial" w:hAnsi="Arial" w:cs="Arial"/>
          <w:sz w:val="16"/>
          <w:szCs w:val="16"/>
        </w:rPr>
        <w:t xml:space="preserve">ntation. Different types of accesses are supported concurrently. (Note that </w:t>
      </w:r>
      <w:r>
        <w:rPr>
          <w:rFonts w:ascii="Courier New" w:hAnsi="Courier New" w:cs="Courier New"/>
          <w:sz w:val="16"/>
          <w:szCs w:val="16"/>
        </w:rPr>
        <w:t>MRAPI_RMEM_ATYPE_ANY</w:t>
      </w:r>
      <w:r>
        <w:rPr>
          <w:rFonts w:ascii="Arial" w:hAnsi="Arial" w:cs="Arial"/>
          <w:sz w:val="16"/>
          <w:szCs w:val="16"/>
        </w:rPr>
        <w:t xml:space="preserve"> is only allowed for buffer creation, clients must call get using a specific access type, e.g., </w:t>
      </w:r>
      <w:r>
        <w:rPr>
          <w:rFonts w:ascii="Courier New" w:hAnsi="Courier New" w:cs="Courier New"/>
          <w:sz w:val="16"/>
          <w:szCs w:val="16"/>
        </w:rPr>
        <w:t>MRAPI_RMEM_ATYPE_DEFAULT</w:t>
      </w:r>
      <w:r>
        <w:rPr>
          <w:rFonts w:ascii="Arial" w:hAnsi="Arial" w:cs="Arial"/>
          <w:sz w:val="16"/>
          <w:szCs w:val="16"/>
        </w:rPr>
        <w:t>, or other types provided by the impleme</w:t>
      </w:r>
      <w:r>
        <w:rPr>
          <w:rFonts w:ascii="Arial" w:hAnsi="Arial" w:cs="Arial"/>
          <w:sz w:val="16"/>
          <w:szCs w:val="16"/>
        </w:rPr>
        <w:t>ntation such as DMA,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etc.) 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Local pointer based read/write is always allowed (limited to access of local target buffers on clients). Ho</w:t>
      </w:r>
      <w:r>
        <w:rPr>
          <w:rFonts w:ascii="Arial" w:hAnsi="Arial" w:cs="Arial"/>
          <w:sz w:val="16"/>
          <w:szCs w:val="16"/>
        </w:rPr>
        <w:t>wever, coherency issues must be managed by the application using MRAPI flush and synch calls (Sections 4.4.2.13 and 4.4.2.14). MRAPI implementations must guarantee that the effect of a synch operation must be complete before the next local read/write opera</w:t>
      </w:r>
      <w:r>
        <w:rPr>
          <w:rFonts w:ascii="Arial" w:hAnsi="Arial" w:cs="Arial"/>
          <w:sz w:val="16"/>
          <w:szCs w:val="16"/>
        </w:rPr>
        <w:t xml:space="preserve">tion on the remote memory </w:t>
      </w:r>
      <w:proofErr w:type="gramStart"/>
      <w:r>
        <w:rPr>
          <w:rFonts w:ascii="Arial" w:hAnsi="Arial" w:cs="Arial"/>
          <w:sz w:val="16"/>
          <w:szCs w:val="16"/>
        </w:rPr>
        <w:t>segment.,</w:t>
      </w:r>
      <w:proofErr w:type="gramEnd"/>
      <w:r>
        <w:rPr>
          <w:rFonts w:ascii="Arial" w:hAnsi="Arial" w:cs="Arial"/>
          <w:sz w:val="16"/>
          <w:szCs w:val="16"/>
        </w:rPr>
        <w:t xml:space="preserve"> and that the flush operation must block until it has completed.</w: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4" w:lineRule="auto"/>
        <w:ind w:right="4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 that remote accesses (reads or writes) always results in a copy and must use MRAPI calls. Finally, implementations may define multiple access types (d</w:t>
      </w:r>
      <w:r>
        <w:rPr>
          <w:rFonts w:ascii="Arial" w:hAnsi="Arial" w:cs="Arial"/>
          <w:sz w:val="16"/>
          <w:szCs w:val="16"/>
        </w:rPr>
        <w:t xml:space="preserve">epending on underlying silicon capabilities), but must provide </w:t>
      </w:r>
      <w:r>
        <w:rPr>
          <w:rFonts w:ascii="Courier New" w:hAnsi="Courier New" w:cs="Courier New"/>
          <w:sz w:val="16"/>
          <w:szCs w:val="16"/>
        </w:rPr>
        <w:t>MRAPI_RMEM_ATYPE_DEFAULT</w:t>
      </w:r>
      <w:r>
        <w:rPr>
          <w:rFonts w:ascii="Arial" w:hAnsi="Arial" w:cs="Arial"/>
          <w:sz w:val="16"/>
          <w:szCs w:val="16"/>
        </w:rPr>
        <w:t>, which has strict semantics and is guaranteed to work.</w:t>
      </w:r>
    </w:p>
    <w:p w:rsidR="00D525E1" w:rsidRDefault="00D525E1" w:rsidP="00D525E1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D525E1" w:rsidRDefault="00D525E1" w:rsidP="00D525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3.5.3     MRAPI Shared Memory Duplication (ABB Extension)</w:t>
      </w:r>
    </w:p>
    <w:p w:rsidR="00D525E1" w:rsidRDefault="00D525E1" w:rsidP="00D525E1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D525E1" w:rsidRDefault="00D525E1" w:rsidP="00D525E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Shared memory is synchronized between processes by the operating system. The timing when updates are completed is non-deterministic and traditionally is guaranteed by use of locks. For some operating systems this heavy ha</w:t>
      </w:r>
      <w:r w:rsidR="00AC7218">
        <w:rPr>
          <w:rFonts w:ascii="Arial" w:hAnsi="Arial" w:cs="Arial"/>
          <w:sz w:val="16"/>
          <w:szCs w:val="16"/>
        </w:rPr>
        <w:t xml:space="preserve">nded approach may not be needed and atomic operations </w:t>
      </w:r>
      <w:r w:rsidR="00AC7218">
        <w:rPr>
          <w:rFonts w:ascii="Arial" w:hAnsi="Arial" w:cs="Arial"/>
          <w:sz w:val="16"/>
          <w:szCs w:val="16"/>
        </w:rPr>
        <w:lastRenderedPageBreak/>
        <w:t>may be suffici</w:t>
      </w:r>
      <w:r w:rsidR="00E42B40">
        <w:rPr>
          <w:rFonts w:ascii="Arial" w:hAnsi="Arial" w:cs="Arial"/>
          <w:sz w:val="16"/>
          <w:szCs w:val="16"/>
        </w:rPr>
        <w:t xml:space="preserve">ent. </w:t>
      </w:r>
      <w:r>
        <w:rPr>
          <w:rFonts w:ascii="Arial" w:hAnsi="Arial" w:cs="Arial"/>
          <w:sz w:val="16"/>
          <w:szCs w:val="16"/>
        </w:rPr>
        <w:t xml:space="preserve"> For example, on Windows it is possible for multiple processes to reference the same physica</w:t>
      </w:r>
      <w:r w:rsidR="00E42B40">
        <w:rPr>
          <w:rFonts w:ascii="Arial" w:hAnsi="Arial" w:cs="Arial"/>
          <w:sz w:val="16"/>
          <w:szCs w:val="16"/>
        </w:rPr>
        <w:t>l memory by duplicating and exchanging a</w:t>
      </w:r>
      <w:r>
        <w:rPr>
          <w:rFonts w:ascii="Arial" w:hAnsi="Arial" w:cs="Arial"/>
          <w:sz w:val="16"/>
          <w:szCs w:val="16"/>
        </w:rPr>
        <w:t xml:space="preserve"> handle in a secure manner. Then atomic operations on the referenced shared memory work the same as if the processes were in the same address space. Shared memory IDs on non-Windows platforms are named globally</w:t>
      </w:r>
      <w:r w:rsidR="00A56382">
        <w:rPr>
          <w:rFonts w:ascii="Arial" w:hAnsi="Arial" w:cs="Arial"/>
          <w:sz w:val="16"/>
          <w:szCs w:val="16"/>
        </w:rPr>
        <w:t xml:space="preserve"> so duplicating between processes is simply a matter of copying the ID</w:t>
      </w:r>
      <w:r w:rsidR="00E42B40">
        <w:rPr>
          <w:rFonts w:ascii="Arial" w:hAnsi="Arial" w:cs="Arial"/>
          <w:sz w:val="16"/>
          <w:szCs w:val="16"/>
        </w:rPr>
        <w:t xml:space="preserve">, however simple atomic operations </w:t>
      </w:r>
      <w:r w:rsidR="004739A6">
        <w:rPr>
          <w:rFonts w:ascii="Arial" w:hAnsi="Arial" w:cs="Arial"/>
          <w:sz w:val="16"/>
          <w:szCs w:val="16"/>
        </w:rPr>
        <w:t>in the shared memory</w:t>
      </w:r>
      <w:r w:rsidR="00E42B40">
        <w:rPr>
          <w:rFonts w:ascii="Arial" w:hAnsi="Arial" w:cs="Arial"/>
          <w:sz w:val="16"/>
          <w:szCs w:val="16"/>
        </w:rPr>
        <w:t xml:space="preserve"> will not have the same effect.</w:t>
      </w:r>
    </w:p>
    <w:p w:rsidR="00000000" w:rsidRDefault="00A72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3660" w:bottom="1440" w:left="1280" w:header="720" w:footer="720" w:gutter="0"/>
          <w:cols w:space="720" w:equalWidth="0">
            <w:col w:w="7300"/>
          </w:cols>
          <w:noEndnote/>
        </w:sectPr>
      </w:pPr>
      <w:r>
        <w:rPr>
          <w:noProof/>
        </w:rPr>
        <w:pict>
          <v:line id="_x0000_s1046" style="position:absolute;z-index:-251637760" from="-1.1pt,28.4pt" to="369.05pt,28.4pt" o:allowincell="f" strokeweight=".36pt"/>
        </w:pict>
      </w:r>
    </w:p>
    <w:p w:rsidR="00000000" w:rsidRDefault="00A72B17">
      <w:pPr>
        <w:pStyle w:val="DefaultParagraphFont"/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2B17" w:rsidP="00112FD3">
      <w:pPr>
        <w:pStyle w:val="DefaultParagraphFont"/>
        <w:widowControl w:val="0"/>
        <w:tabs>
          <w:tab w:val="left" w:pos="2840"/>
          <w:tab w:val="left" w:pos="6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40" w:right="3780" w:bottom="1440" w:left="1280" w:header="720" w:footer="720" w:gutter="0"/>
          <w:cols w:space="720" w:equalWidth="0">
            <w:col w:w="7180"/>
          </w:cols>
          <w:noEndnote/>
        </w:sectPr>
      </w:pPr>
      <w:proofErr w:type="spellStart"/>
      <w:r>
        <w:rPr>
          <w:rFonts w:ascii="Arial" w:hAnsi="Arial" w:cs="Arial"/>
          <w:sz w:val="15"/>
          <w:szCs w:val="15"/>
        </w:rPr>
        <w:t>Multicore</w:t>
      </w:r>
      <w:proofErr w:type="spellEnd"/>
      <w:r>
        <w:rPr>
          <w:rFonts w:ascii="Arial" w:hAnsi="Arial" w:cs="Arial"/>
          <w:sz w:val="15"/>
          <w:szCs w:val="15"/>
        </w:rPr>
        <w:t xml:space="preserve">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August 16,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 10</w:t>
      </w:r>
    </w:p>
    <w:p w:rsidR="00A72B17" w:rsidRDefault="00A72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72B17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B17" w:rsidRDefault="00A72B17" w:rsidP="00D525E1">
      <w:pPr>
        <w:spacing w:after="0" w:line="240" w:lineRule="auto"/>
      </w:pPr>
      <w:r>
        <w:separator/>
      </w:r>
    </w:p>
  </w:endnote>
  <w:endnote w:type="continuationSeparator" w:id="0">
    <w:p w:rsidR="00A72B17" w:rsidRDefault="00A72B17" w:rsidP="00D5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B17" w:rsidRDefault="00A72B17" w:rsidP="00D525E1">
      <w:pPr>
        <w:spacing w:after="0" w:line="240" w:lineRule="auto"/>
      </w:pPr>
      <w:r>
        <w:separator/>
      </w:r>
    </w:p>
  </w:footnote>
  <w:footnote w:type="continuationSeparator" w:id="0">
    <w:p w:rsidR="00A72B17" w:rsidRDefault="00A72B17" w:rsidP="00D5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525E1"/>
    <w:rsid w:val="00112FD3"/>
    <w:rsid w:val="004739A6"/>
    <w:rsid w:val="00A56382"/>
    <w:rsid w:val="00A72B17"/>
    <w:rsid w:val="00AC7218"/>
    <w:rsid w:val="00D525E1"/>
    <w:rsid w:val="00E4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525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25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25E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2012-12-20T16:57:00Z</dcterms:created>
  <dcterms:modified xsi:type="dcterms:W3CDTF">2012-12-20T16:59:00Z</dcterms:modified>
</cp:coreProperties>
</file>