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921" w:rsidRPr="0098691C" w:rsidRDefault="000C0921" w:rsidP="000C0921">
      <w:pPr>
        <w:pBdr>
          <w:bottom w:val="single" w:sz="4" w:space="1" w:color="auto"/>
        </w:pBdr>
        <w:jc w:val="center"/>
        <w:rPr>
          <w:b/>
          <w:szCs w:val="24"/>
        </w:rPr>
      </w:pPr>
      <w:r>
        <w:rPr>
          <w:b/>
          <w:szCs w:val="24"/>
        </w:rPr>
        <w:t>Shell and Tube Heat Exchanger</w:t>
      </w:r>
      <w:r w:rsidRPr="0098691C">
        <w:rPr>
          <w:b/>
          <w:szCs w:val="24"/>
        </w:rPr>
        <w:t xml:space="preserve"> Experiment</w:t>
      </w:r>
    </w:p>
    <w:p w:rsidR="000C0921" w:rsidRPr="0098691C" w:rsidRDefault="000C0921" w:rsidP="000C0921">
      <w:pPr>
        <w:rPr>
          <w:b/>
          <w:szCs w:val="24"/>
        </w:rPr>
      </w:pPr>
      <w:r w:rsidRPr="0098691C">
        <w:rPr>
          <w:b/>
          <w:szCs w:val="24"/>
        </w:rPr>
        <w:t>Purposes:</w:t>
      </w:r>
    </w:p>
    <w:p w:rsidR="000C0921" w:rsidRPr="0098691C" w:rsidRDefault="000C0921" w:rsidP="000C0921">
      <w:pPr>
        <w:pStyle w:val="ListParagraph"/>
        <w:numPr>
          <w:ilvl w:val="0"/>
          <w:numId w:val="2"/>
        </w:numPr>
        <w:rPr>
          <w:szCs w:val="24"/>
        </w:rPr>
      </w:pPr>
      <w:r w:rsidRPr="0098691C">
        <w:rPr>
          <w:szCs w:val="24"/>
        </w:rPr>
        <w:t xml:space="preserve">Gain experience with </w:t>
      </w:r>
      <w:r>
        <w:rPr>
          <w:szCs w:val="24"/>
        </w:rPr>
        <w:t>using a shell and tube heat exchanger</w:t>
      </w:r>
      <w:r w:rsidRPr="0098691C">
        <w:rPr>
          <w:szCs w:val="24"/>
        </w:rPr>
        <w:t>.</w:t>
      </w:r>
    </w:p>
    <w:p w:rsidR="000C0921" w:rsidRDefault="000C0921" w:rsidP="000C0921">
      <w:pPr>
        <w:pStyle w:val="ListParagraph"/>
        <w:numPr>
          <w:ilvl w:val="0"/>
          <w:numId w:val="2"/>
        </w:numPr>
        <w:rPr>
          <w:szCs w:val="24"/>
        </w:rPr>
      </w:pPr>
      <w:r>
        <w:rPr>
          <w:szCs w:val="24"/>
        </w:rPr>
        <w:t>Perform a detailed analysis of the heat exchanger to calculate the fouling factor.</w:t>
      </w:r>
    </w:p>
    <w:p w:rsidR="000C0921" w:rsidRPr="0098691C" w:rsidRDefault="000C0921" w:rsidP="000C0921">
      <w:pPr>
        <w:pStyle w:val="ListParagraph"/>
        <w:numPr>
          <w:ilvl w:val="0"/>
          <w:numId w:val="2"/>
        </w:numPr>
        <w:rPr>
          <w:szCs w:val="24"/>
        </w:rPr>
      </w:pPr>
      <w:r>
        <w:rPr>
          <w:szCs w:val="24"/>
        </w:rPr>
        <w:t>Use the lab data on fouling factor to select an industrial heat exchanger.</w:t>
      </w:r>
    </w:p>
    <w:p w:rsidR="000C0921" w:rsidRPr="0098691C" w:rsidRDefault="000C0921" w:rsidP="000C0921">
      <w:pPr>
        <w:rPr>
          <w:szCs w:val="24"/>
        </w:rPr>
      </w:pPr>
    </w:p>
    <w:p w:rsidR="000C0921" w:rsidRDefault="000C0921" w:rsidP="00E364E6">
      <w:pPr>
        <w:autoSpaceDE w:val="0"/>
        <w:autoSpaceDN w:val="0"/>
        <w:adjustRightInd w:val="0"/>
        <w:rPr>
          <w:rFonts w:ascii="Times-Roman" w:hAnsi="Times-Roman" w:cs="Times-Roman"/>
          <w:szCs w:val="24"/>
        </w:rPr>
      </w:pPr>
      <w:r>
        <w:rPr>
          <w:rFonts w:ascii="Times-Roman" w:hAnsi="Times-Roman" w:cs="Times-Roman"/>
          <w:szCs w:val="24"/>
        </w:rPr>
        <w:t>Two shell and tube heat exchangers are located in the lab.</w:t>
      </w:r>
      <w:r w:rsidR="003F23C8">
        <w:rPr>
          <w:rFonts w:ascii="Times-Roman" w:hAnsi="Times-Roman" w:cs="Times-Roman"/>
          <w:szCs w:val="24"/>
        </w:rPr>
        <w:t xml:space="preserve">  </w:t>
      </w:r>
      <w:r w:rsidR="003F23C8">
        <w:t>Each is model 03024 SSCF from Standard Xchange (</w:t>
      </w:r>
      <w:hyperlink r:id="rId6" w:history="1">
        <w:r w:rsidR="003F23C8">
          <w:rPr>
            <w:rStyle w:val="Hyperlink"/>
          </w:rPr>
          <w:t>http://www.standard-xchange.com</w:t>
        </w:r>
      </w:hyperlink>
      <w:r w:rsidR="003F23C8">
        <w:t>) with a single tube pass.  One of the heat exchangers (Unit #1) has narrow baffle spacing and one (Unit #2) has wide baffle spacing.  Some of the information you need to design the heat exchanger is found on the website, but some had to be requested from the manufacturer.  The information obtained from the manufacturer is found in a pdf on the UO lab website.</w:t>
      </w:r>
      <w:r w:rsidR="003F23C8">
        <w:rPr>
          <w:rFonts w:ascii="Times-Roman" w:hAnsi="Times-Roman" w:cs="Times-Roman"/>
          <w:szCs w:val="24"/>
        </w:rPr>
        <w:t xml:space="preserve">  </w:t>
      </w:r>
      <w:r>
        <w:rPr>
          <w:rFonts w:ascii="Times-Roman" w:hAnsi="Times-Roman" w:cs="Times-Roman"/>
          <w:szCs w:val="24"/>
        </w:rPr>
        <w:t xml:space="preserve">Your assignment is to run each heat exchanger at steady state to generate enough data for analysis. </w:t>
      </w:r>
      <w:r w:rsidR="003F23C8">
        <w:rPr>
          <w:rFonts w:ascii="Times-Roman" w:hAnsi="Times-Roman" w:cs="Times-Roman"/>
          <w:szCs w:val="24"/>
        </w:rPr>
        <w:t xml:space="preserve"> </w:t>
      </w:r>
      <w:r>
        <w:rPr>
          <w:rFonts w:ascii="Times-Roman" w:hAnsi="Times-Roman" w:cs="Times-Roman"/>
          <w:szCs w:val="24"/>
        </w:rPr>
        <w:t>As you calculate the individual resistances, you will be able</w:t>
      </w:r>
      <w:r w:rsidR="003F23C8">
        <w:rPr>
          <w:rFonts w:ascii="Times-Roman" w:hAnsi="Times-Roman" w:cs="Times-Roman"/>
          <w:szCs w:val="24"/>
        </w:rPr>
        <w:t xml:space="preserve"> to calculate a fouling factor.  </w:t>
      </w:r>
      <w:r>
        <w:rPr>
          <w:rFonts w:ascii="Times-Roman" w:hAnsi="Times-Roman" w:cs="Times-Roman"/>
          <w:szCs w:val="24"/>
        </w:rPr>
        <w:t>Please see if this fouling factor is independent of flow rate.</w:t>
      </w:r>
    </w:p>
    <w:p w:rsidR="000C0921" w:rsidRDefault="000C0921" w:rsidP="00E364E6">
      <w:pPr>
        <w:autoSpaceDE w:val="0"/>
        <w:autoSpaceDN w:val="0"/>
        <w:adjustRightInd w:val="0"/>
        <w:rPr>
          <w:rFonts w:ascii="Times-Roman" w:hAnsi="Times-Roman" w:cs="Times-Roman"/>
          <w:szCs w:val="24"/>
        </w:rPr>
      </w:pPr>
    </w:p>
    <w:p w:rsidR="000C0921" w:rsidRDefault="00D10480" w:rsidP="00E364E6">
      <w:pPr>
        <w:autoSpaceDE w:val="0"/>
        <w:autoSpaceDN w:val="0"/>
        <w:adjustRightInd w:val="0"/>
        <w:rPr>
          <w:rFonts w:ascii="Times-Roman" w:hAnsi="Times-Roman" w:cs="Times-Roman"/>
          <w:szCs w:val="24"/>
        </w:rPr>
      </w:pPr>
      <w:r>
        <w:rPr>
          <w:rFonts w:ascii="Times-Roman" w:hAnsi="Times-Roman" w:cs="Times-Roman"/>
          <w:szCs w:val="24"/>
        </w:rPr>
        <w:t>Based on your data from these small heat exchangers, p</w:t>
      </w:r>
      <w:bookmarkStart w:id="0" w:name="_GoBack"/>
      <w:bookmarkEnd w:id="0"/>
      <w:r w:rsidR="000C0921">
        <w:rPr>
          <w:rFonts w:ascii="Times-Roman" w:hAnsi="Times-Roman" w:cs="Times-Roman"/>
          <w:szCs w:val="24"/>
        </w:rPr>
        <w:t xml:space="preserve">lease select a heat exchanger </w:t>
      </w:r>
      <w:r>
        <w:rPr>
          <w:rFonts w:ascii="Times-Roman" w:hAnsi="Times-Roman" w:cs="Times-Roman"/>
          <w:szCs w:val="24"/>
        </w:rPr>
        <w:t xml:space="preserve">from the manufacturer’s list </w:t>
      </w:r>
      <w:r w:rsidR="000C0921">
        <w:rPr>
          <w:rFonts w:ascii="Times-Roman" w:hAnsi="Times-Roman" w:cs="Times-Roman"/>
          <w:szCs w:val="24"/>
        </w:rPr>
        <w:t>that can be used to heat 200 gpm of water from 25</w:t>
      </w:r>
      <w:r w:rsidR="000C0921">
        <w:rPr>
          <w:rFonts w:ascii="Times-Roman" w:hAnsi="Times-Roman" w:cs="Times-Roman"/>
          <w:szCs w:val="24"/>
        </w:rPr>
        <w:sym w:font="Symbol" w:char="F0B0"/>
      </w:r>
      <w:r w:rsidR="000C0921">
        <w:rPr>
          <w:rFonts w:ascii="Times-Roman" w:hAnsi="Times-Roman" w:cs="Times-Roman"/>
          <w:szCs w:val="24"/>
        </w:rPr>
        <w:t>C to 75</w:t>
      </w:r>
      <w:r w:rsidR="000C0921">
        <w:rPr>
          <w:rFonts w:ascii="Times-Roman" w:hAnsi="Times-Roman" w:cs="Times-Roman"/>
          <w:szCs w:val="24"/>
        </w:rPr>
        <w:sym w:font="Symbol" w:char="F0B0"/>
      </w:r>
      <w:r w:rsidR="000C0921">
        <w:rPr>
          <w:rFonts w:ascii="Times-Roman" w:hAnsi="Times-Roman" w:cs="Times-Roman"/>
          <w:szCs w:val="24"/>
        </w:rPr>
        <w:t xml:space="preserve">C </w:t>
      </w:r>
      <w:r w:rsidR="000C0921" w:rsidRPr="00E364E6">
        <w:rPr>
          <w:rFonts w:ascii="Times-Roman" w:hAnsi="Times-Roman" w:cs="Times-Roman"/>
          <w:szCs w:val="24"/>
        </w:rPr>
        <w:t>(assuming 100 or 300 psi</w:t>
      </w:r>
      <w:r>
        <w:rPr>
          <w:rFonts w:ascii="Times-Roman" w:hAnsi="Times-Roman" w:cs="Times-Roman"/>
          <w:szCs w:val="24"/>
        </w:rPr>
        <w:t>g</w:t>
      </w:r>
      <w:r w:rsidR="000C0921" w:rsidRPr="00E364E6">
        <w:rPr>
          <w:rFonts w:ascii="Times-Roman" w:hAnsi="Times-Roman" w:cs="Times-Roman"/>
          <w:szCs w:val="24"/>
        </w:rPr>
        <w:t xml:space="preserve"> steam)</w:t>
      </w:r>
      <w:r w:rsidR="000C0921">
        <w:rPr>
          <w:rFonts w:ascii="Times-Roman" w:hAnsi="Times-Roman" w:cs="Times-Roman"/>
          <w:szCs w:val="24"/>
        </w:rPr>
        <w:t>.</w:t>
      </w:r>
      <w:r w:rsidR="00490C1B">
        <w:rPr>
          <w:rFonts w:ascii="Times-Roman" w:hAnsi="Times-Roman" w:cs="Times-Roman"/>
          <w:szCs w:val="24"/>
        </w:rPr>
        <w:t xml:space="preserve"> </w:t>
      </w:r>
      <w:r w:rsidR="003F23C8">
        <w:rPr>
          <w:rFonts w:ascii="Times-Roman" w:hAnsi="Times-Roman" w:cs="Times-Roman"/>
          <w:szCs w:val="24"/>
        </w:rPr>
        <w:t xml:space="preserve"> </w:t>
      </w:r>
      <w:r w:rsidR="00490C1B">
        <w:rPr>
          <w:rFonts w:ascii="Times-Roman" w:hAnsi="Times-Roman" w:cs="Times-Roman"/>
          <w:szCs w:val="24"/>
        </w:rPr>
        <w:t>Please note that the experiment in the lab will not achieve these steam pressures.</w:t>
      </w:r>
    </w:p>
    <w:p w:rsidR="000C0921" w:rsidRDefault="000C0921" w:rsidP="00E364E6">
      <w:pPr>
        <w:autoSpaceDE w:val="0"/>
        <w:autoSpaceDN w:val="0"/>
        <w:adjustRightInd w:val="0"/>
        <w:rPr>
          <w:rFonts w:ascii="Times-Roman" w:hAnsi="Times-Roman" w:cs="Times-Roman"/>
          <w:szCs w:val="24"/>
        </w:rPr>
      </w:pPr>
    </w:p>
    <w:p w:rsidR="00756E7B" w:rsidRDefault="00756E7B" w:rsidP="007A6830">
      <w:pPr>
        <w:pStyle w:val="BodyText"/>
        <w:jc w:val="left"/>
      </w:pPr>
    </w:p>
    <w:sectPr w:rsidR="00756E7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25291"/>
    <w:multiLevelType w:val="hybridMultilevel"/>
    <w:tmpl w:val="88C68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DE0F86"/>
    <w:multiLevelType w:val="hybridMultilevel"/>
    <w:tmpl w:val="9ADC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044"/>
    <w:rsid w:val="000C0921"/>
    <w:rsid w:val="001078DF"/>
    <w:rsid w:val="00142BB3"/>
    <w:rsid w:val="00203506"/>
    <w:rsid w:val="003D259A"/>
    <w:rsid w:val="003F23C8"/>
    <w:rsid w:val="00490C1B"/>
    <w:rsid w:val="00621DC2"/>
    <w:rsid w:val="00663422"/>
    <w:rsid w:val="00663D58"/>
    <w:rsid w:val="00756E7B"/>
    <w:rsid w:val="007A6830"/>
    <w:rsid w:val="008C1E36"/>
    <w:rsid w:val="00947044"/>
    <w:rsid w:val="00A156EF"/>
    <w:rsid w:val="00A4066B"/>
    <w:rsid w:val="00AA181C"/>
    <w:rsid w:val="00BE04DC"/>
    <w:rsid w:val="00C6306A"/>
    <w:rsid w:val="00C741F3"/>
    <w:rsid w:val="00D10480"/>
    <w:rsid w:val="00D57B05"/>
    <w:rsid w:val="00E364E6"/>
    <w:rsid w:val="00F3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ass">
    <w:name w:val="Class"/>
    <w:basedOn w:val="Normal"/>
    <w:rPr>
      <w:rFonts w:ascii="Tahoma" w:hAnsi="Tahoma"/>
      <w:sz w:val="44"/>
    </w:rPr>
  </w:style>
  <w:style w:type="paragraph" w:styleId="Title">
    <w:name w:val="Title"/>
    <w:basedOn w:val="Normal"/>
    <w:qFormat/>
    <w:pPr>
      <w:jc w:val="center"/>
    </w:pPr>
    <w:rPr>
      <w:b/>
    </w:rPr>
  </w:style>
  <w:style w:type="paragraph" w:styleId="BodyText2">
    <w:name w:val="Body Text 2"/>
    <w:basedOn w:val="Normal"/>
    <w:pPr>
      <w:ind w:firstLine="720"/>
    </w:pPr>
  </w:style>
  <w:style w:type="paragraph" w:styleId="BodyTextIndent">
    <w:name w:val="Body Text Indent"/>
    <w:basedOn w:val="Normal"/>
    <w:pPr>
      <w:ind w:firstLine="720"/>
    </w:pPr>
  </w:style>
  <w:style w:type="paragraph" w:styleId="BodyText">
    <w:name w:val="Body Text"/>
    <w:basedOn w:val="Normal"/>
    <w:pPr>
      <w:jc w:val="both"/>
    </w:pPr>
  </w:style>
  <w:style w:type="paragraph" w:styleId="BalloonText">
    <w:name w:val="Balloon Text"/>
    <w:basedOn w:val="Normal"/>
    <w:semiHidden/>
    <w:rsid w:val="00947044"/>
    <w:rPr>
      <w:rFonts w:ascii="Tahoma" w:hAnsi="Tahoma" w:cs="Tahoma"/>
      <w:sz w:val="16"/>
      <w:szCs w:val="16"/>
    </w:rPr>
  </w:style>
  <w:style w:type="paragraph" w:styleId="ListParagraph">
    <w:name w:val="List Paragraph"/>
    <w:basedOn w:val="Normal"/>
    <w:uiPriority w:val="34"/>
    <w:qFormat/>
    <w:rsid w:val="000C0921"/>
    <w:pPr>
      <w:ind w:left="720"/>
      <w:contextualSpacing/>
    </w:pPr>
  </w:style>
  <w:style w:type="character" w:styleId="Hyperlink">
    <w:name w:val="Hyperlink"/>
    <w:basedOn w:val="DefaultParagraphFont"/>
    <w:uiPriority w:val="99"/>
    <w:unhideWhenUsed/>
    <w:rsid w:val="003F23C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ass">
    <w:name w:val="Class"/>
    <w:basedOn w:val="Normal"/>
    <w:rPr>
      <w:rFonts w:ascii="Tahoma" w:hAnsi="Tahoma"/>
      <w:sz w:val="44"/>
    </w:rPr>
  </w:style>
  <w:style w:type="paragraph" w:styleId="Title">
    <w:name w:val="Title"/>
    <w:basedOn w:val="Normal"/>
    <w:qFormat/>
    <w:pPr>
      <w:jc w:val="center"/>
    </w:pPr>
    <w:rPr>
      <w:b/>
    </w:rPr>
  </w:style>
  <w:style w:type="paragraph" w:styleId="BodyText2">
    <w:name w:val="Body Text 2"/>
    <w:basedOn w:val="Normal"/>
    <w:pPr>
      <w:ind w:firstLine="720"/>
    </w:pPr>
  </w:style>
  <w:style w:type="paragraph" w:styleId="BodyTextIndent">
    <w:name w:val="Body Text Indent"/>
    <w:basedOn w:val="Normal"/>
    <w:pPr>
      <w:ind w:firstLine="720"/>
    </w:pPr>
  </w:style>
  <w:style w:type="paragraph" w:styleId="BodyText">
    <w:name w:val="Body Text"/>
    <w:basedOn w:val="Normal"/>
    <w:pPr>
      <w:jc w:val="both"/>
    </w:pPr>
  </w:style>
  <w:style w:type="paragraph" w:styleId="BalloonText">
    <w:name w:val="Balloon Text"/>
    <w:basedOn w:val="Normal"/>
    <w:semiHidden/>
    <w:rsid w:val="00947044"/>
    <w:rPr>
      <w:rFonts w:ascii="Tahoma" w:hAnsi="Tahoma" w:cs="Tahoma"/>
      <w:sz w:val="16"/>
      <w:szCs w:val="16"/>
    </w:rPr>
  </w:style>
  <w:style w:type="paragraph" w:styleId="ListParagraph">
    <w:name w:val="List Paragraph"/>
    <w:basedOn w:val="Normal"/>
    <w:uiPriority w:val="34"/>
    <w:qFormat/>
    <w:rsid w:val="000C0921"/>
    <w:pPr>
      <w:ind w:left="720"/>
      <w:contextualSpacing/>
    </w:pPr>
  </w:style>
  <w:style w:type="character" w:styleId="Hyperlink">
    <w:name w:val="Hyperlink"/>
    <w:basedOn w:val="DefaultParagraphFont"/>
    <w:uiPriority w:val="99"/>
    <w:unhideWhenUsed/>
    <w:rsid w:val="003F23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ndard-xchang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We are encountering more two-phase flow phenomena in process piping as a result of recent debottlenecking projects in several of our processing facilities</vt:lpstr>
    </vt:vector>
  </TitlesOfParts>
  <Company>School of Chemical Engineering</Company>
  <LinksUpToDate>false</LinksUpToDate>
  <CharactersWithSpaces>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are encountering more two-phase flow phenomena in process piping as a result of recent debottlenecking projects in several of our processing facilities</dc:title>
  <dc:creator>Jan Wagner</dc:creator>
  <cp:lastModifiedBy>Tom Fletcher</cp:lastModifiedBy>
  <cp:revision>3</cp:revision>
  <cp:lastPrinted>2005-10-04T21:42:00Z</cp:lastPrinted>
  <dcterms:created xsi:type="dcterms:W3CDTF">2013-10-10T20:12:00Z</dcterms:created>
  <dcterms:modified xsi:type="dcterms:W3CDTF">2013-10-17T19:57:00Z</dcterms:modified>
</cp:coreProperties>
</file>