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2D" w:rsidRPr="000043C0" w:rsidRDefault="009355DE" w:rsidP="000043C0">
      <w:pPr>
        <w:rPr>
          <w:rFonts w:ascii="Arial" w:hAnsi="Arial" w:cs="Arial"/>
          <w:b/>
          <w:sz w:val="52"/>
          <w:szCs w:val="52"/>
        </w:rPr>
      </w:pPr>
      <w:r w:rsidRPr="000043C0">
        <w:rPr>
          <w:rFonts w:ascii="Arial" w:hAnsi="Arial" w:cs="Arial"/>
          <w:b/>
          <w:sz w:val="52"/>
          <w:szCs w:val="52"/>
        </w:rPr>
        <w:t xml:space="preserve">Onco-Wiki </w:t>
      </w:r>
      <w:r w:rsidR="008C48AA">
        <w:rPr>
          <w:rFonts w:ascii="Arial" w:hAnsi="Arial" w:cs="Arial"/>
          <w:b/>
          <w:sz w:val="52"/>
          <w:szCs w:val="52"/>
        </w:rPr>
        <w:t>RNA-Sequencing</w:t>
      </w:r>
    </w:p>
    <w:p w:rsidR="007E2CDA" w:rsidRPr="007E2CDA" w:rsidRDefault="007E2CDA" w:rsidP="007E2CDA">
      <w:pPr>
        <w:rPr>
          <w:rFonts w:ascii="Arial" w:hAnsi="Arial" w:cs="Arial"/>
          <w:sz w:val="20"/>
          <w:szCs w:val="20"/>
        </w:rPr>
      </w:pPr>
      <w:r>
        <w:rPr>
          <w:rFonts w:ascii="Arial" w:hAnsi="Arial" w:cs="Arial"/>
          <w:sz w:val="20"/>
          <w:szCs w:val="20"/>
        </w:rPr>
        <w:t>This guide uses CLC Genomics Workbench 8.0 which requires a paid license. A popular free alternative is the Bowtie/Tophat/Cufflinks sequencing pipeline.</w:t>
      </w:r>
    </w:p>
    <w:p w:rsidR="00FE0471" w:rsidRPr="008F67EE" w:rsidRDefault="00325CCE" w:rsidP="002E3D67">
      <w:pPr>
        <w:pStyle w:val="ListParagraph"/>
        <w:numPr>
          <w:ilvl w:val="0"/>
          <w:numId w:val="1"/>
        </w:numPr>
        <w:rPr>
          <w:rFonts w:ascii="Arial" w:hAnsi="Arial" w:cs="Arial"/>
          <w:b/>
        </w:rPr>
      </w:pPr>
      <w:r>
        <w:rPr>
          <w:rFonts w:ascii="Arial" w:hAnsi="Arial" w:cs="Arial"/>
          <w:b/>
        </w:rPr>
        <w:t>Data Storage</w:t>
      </w:r>
    </w:p>
    <w:p w:rsidR="007E2CDA" w:rsidRDefault="007E2CDA" w:rsidP="00325CCE">
      <w:pPr>
        <w:rPr>
          <w:rFonts w:ascii="Arial" w:hAnsi="Arial" w:cs="Arial"/>
          <w:sz w:val="20"/>
          <w:szCs w:val="20"/>
        </w:rPr>
      </w:pPr>
      <w:r>
        <w:rPr>
          <w:rFonts w:ascii="Arial" w:hAnsi="Arial" w:cs="Arial"/>
          <w:sz w:val="20"/>
          <w:szCs w:val="20"/>
        </w:rPr>
        <w:t>Prior to RNA-Sequencing, ensure that you save your data to an external hard drive with up to 20GB of available data for each sample.</w:t>
      </w:r>
      <w:r w:rsidR="00A70AD7">
        <w:rPr>
          <w:rFonts w:ascii="Arial" w:hAnsi="Arial" w:cs="Arial"/>
          <w:sz w:val="20"/>
          <w:szCs w:val="20"/>
        </w:rPr>
        <w:t xml:space="preserve"> </w:t>
      </w:r>
      <w:r>
        <w:rPr>
          <w:rFonts w:ascii="Arial" w:hAnsi="Arial" w:cs="Arial"/>
          <w:sz w:val="20"/>
          <w:szCs w:val="20"/>
        </w:rPr>
        <w:t xml:space="preserve">Also, ensure that you have adequate local disk space for reference genome tracks and </w:t>
      </w:r>
      <w:r w:rsidR="00A70AD7">
        <w:rPr>
          <w:rFonts w:ascii="Arial" w:hAnsi="Arial" w:cs="Arial"/>
          <w:sz w:val="20"/>
          <w:szCs w:val="20"/>
        </w:rPr>
        <w:t>live process runs of each sample (at least 20GB per sample).</w:t>
      </w:r>
    </w:p>
    <w:p w:rsidR="00A81306" w:rsidRPr="00A81306" w:rsidRDefault="007E2CDA" w:rsidP="00F75264">
      <w:pPr>
        <w:pStyle w:val="ListParagraph"/>
        <w:numPr>
          <w:ilvl w:val="0"/>
          <w:numId w:val="1"/>
        </w:numPr>
        <w:rPr>
          <w:rFonts w:ascii="Arial" w:hAnsi="Arial" w:cs="Arial"/>
          <w:b/>
        </w:rPr>
      </w:pPr>
      <w:r>
        <w:rPr>
          <w:rFonts w:ascii="Arial" w:hAnsi="Arial" w:cs="Arial"/>
          <w:b/>
        </w:rPr>
        <w:t>Import Data</w:t>
      </w:r>
    </w:p>
    <w:p w:rsidR="000043C0" w:rsidRPr="00C22D1E" w:rsidRDefault="007E2CDA" w:rsidP="00C22D1E">
      <w:pPr>
        <w:rPr>
          <w:rFonts w:ascii="Arial" w:hAnsi="Arial" w:cs="Arial"/>
          <w:sz w:val="20"/>
          <w:szCs w:val="20"/>
        </w:rPr>
      </w:pPr>
      <w:r>
        <w:rPr>
          <w:rFonts w:ascii="Arial" w:hAnsi="Arial" w:cs="Arial"/>
          <w:sz w:val="20"/>
          <w:szCs w:val="20"/>
        </w:rPr>
        <w:t>Import downloaded data via the toolbar File | Important | Standard Import or FASTA special import if downloaded data was in FASTA format. Ensure that the file extension of each file is either in .fastq.gz or .fasta.gz. Save imported data. It is possible to do multiple data sample imports if you have no other tasks. This process should take no longer than 10-15 minutes per sample.</w:t>
      </w:r>
    </w:p>
    <w:p w:rsidR="00C22D1E" w:rsidRDefault="00A70AD7" w:rsidP="00C22D1E">
      <w:pPr>
        <w:pStyle w:val="ListParagraph"/>
        <w:numPr>
          <w:ilvl w:val="0"/>
          <w:numId w:val="1"/>
        </w:numPr>
        <w:rPr>
          <w:rFonts w:ascii="Arial" w:hAnsi="Arial" w:cs="Arial"/>
          <w:b/>
        </w:rPr>
      </w:pPr>
      <w:r>
        <w:rPr>
          <w:rFonts w:ascii="Arial" w:hAnsi="Arial" w:cs="Arial"/>
          <w:b/>
        </w:rPr>
        <w:t>Genome Tracks</w:t>
      </w:r>
    </w:p>
    <w:p w:rsidR="000043C0" w:rsidRDefault="00A70AD7" w:rsidP="007331D6">
      <w:pPr>
        <w:rPr>
          <w:rFonts w:ascii="Arial" w:hAnsi="Arial" w:cs="Arial"/>
          <w:sz w:val="20"/>
          <w:szCs w:val="20"/>
        </w:rPr>
      </w:pPr>
      <w:r>
        <w:rPr>
          <w:rFonts w:ascii="Arial" w:hAnsi="Arial" w:cs="Arial"/>
          <w:sz w:val="20"/>
          <w:szCs w:val="20"/>
        </w:rPr>
        <w:t>Select Download | Download Reference Genome Data | Animals (mammals) and Homo Sapiens (hg19) from the drop down list. Download the hg19 reference genome track from NCBI and the annotated gene track from Ensembl.</w:t>
      </w:r>
    </w:p>
    <w:p w:rsidR="00A70AD7" w:rsidRDefault="00A70AD7" w:rsidP="00A70AD7">
      <w:pPr>
        <w:pStyle w:val="ListParagraph"/>
        <w:numPr>
          <w:ilvl w:val="0"/>
          <w:numId w:val="1"/>
        </w:numPr>
        <w:rPr>
          <w:rFonts w:ascii="Arial" w:hAnsi="Arial" w:cs="Arial"/>
          <w:b/>
        </w:rPr>
      </w:pPr>
      <w:r>
        <w:rPr>
          <w:rFonts w:ascii="Arial" w:hAnsi="Arial" w:cs="Arial"/>
          <w:b/>
        </w:rPr>
        <w:t>RNA-Seq Analysis</w:t>
      </w:r>
    </w:p>
    <w:p w:rsidR="00A70AD7" w:rsidRDefault="00A70AD7" w:rsidP="00A70AD7">
      <w:pPr>
        <w:rPr>
          <w:noProof/>
          <w:lang w:eastAsia="en-GB"/>
        </w:rPr>
      </w:pPr>
      <w:r>
        <w:rPr>
          <w:rFonts w:ascii="Arial" w:hAnsi="Arial" w:cs="Arial"/>
          <w:sz w:val="20"/>
          <w:szCs w:val="20"/>
        </w:rPr>
        <w:t>Go to Toolbox | Expression analysis | RNA-Seq analysis. Click the batch button if you plan to sequence multiple samples and select your recently imported data files (n</w:t>
      </w:r>
      <w:r w:rsidR="00F049B2">
        <w:rPr>
          <w:rFonts w:ascii="Arial" w:hAnsi="Arial" w:cs="Arial"/>
          <w:sz w:val="20"/>
          <w:szCs w:val="20"/>
        </w:rPr>
        <w:t>ot your downloaded data files).</w:t>
      </w:r>
    </w:p>
    <w:p w:rsidR="00A70AD7" w:rsidRPr="00A70AD7" w:rsidRDefault="00A70AD7" w:rsidP="00F049B2">
      <w:pPr>
        <w:jc w:val="center"/>
        <w:rPr>
          <w:rFonts w:ascii="Arial" w:hAnsi="Arial" w:cs="Arial"/>
          <w:sz w:val="20"/>
          <w:szCs w:val="20"/>
        </w:rPr>
      </w:pPr>
      <w:r>
        <w:rPr>
          <w:rFonts w:ascii="Arial" w:hAnsi="Arial" w:cs="Arial"/>
          <w:noProof/>
          <w:sz w:val="20"/>
          <w:szCs w:val="20"/>
          <w:lang w:eastAsia="en-GB"/>
        </w:rPr>
        <w:drawing>
          <wp:inline distT="0" distB="0" distL="0" distR="0">
            <wp:extent cx="4733925" cy="34285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028" cy="3432977"/>
                    </a:xfrm>
                    <a:prstGeom prst="rect">
                      <a:avLst/>
                    </a:prstGeom>
                    <a:noFill/>
                    <a:ln>
                      <a:noFill/>
                    </a:ln>
                  </pic:spPr>
                </pic:pic>
              </a:graphicData>
            </a:graphic>
          </wp:inline>
        </w:drawing>
      </w:r>
    </w:p>
    <w:p w:rsidR="00A70AD7" w:rsidRDefault="00F049B2" w:rsidP="00A70AD7">
      <w:pPr>
        <w:rPr>
          <w:rFonts w:ascii="Arial" w:hAnsi="Arial" w:cs="Arial"/>
          <w:sz w:val="20"/>
          <w:szCs w:val="20"/>
        </w:rPr>
      </w:pPr>
      <w:r>
        <w:rPr>
          <w:rFonts w:ascii="Arial" w:hAnsi="Arial" w:cs="Arial"/>
          <w:sz w:val="20"/>
          <w:szCs w:val="20"/>
        </w:rPr>
        <w:t>Select your downloaded hg19 reference genome and corresponding gene track from Ensembl and Map to gene regions only (fast).</w:t>
      </w:r>
    </w:p>
    <w:p w:rsidR="00F049B2" w:rsidRDefault="00F049B2" w:rsidP="00F049B2">
      <w:pPr>
        <w:jc w:val="center"/>
        <w:rPr>
          <w:rFonts w:ascii="Arial" w:hAnsi="Arial" w:cs="Arial"/>
          <w:sz w:val="20"/>
          <w:szCs w:val="20"/>
        </w:rPr>
      </w:pPr>
      <w:r>
        <w:rPr>
          <w:rFonts w:ascii="Arial" w:hAnsi="Arial" w:cs="Arial"/>
          <w:noProof/>
          <w:sz w:val="20"/>
          <w:szCs w:val="20"/>
          <w:lang w:eastAsia="en-GB"/>
        </w:rPr>
        <w:lastRenderedPageBreak/>
        <w:drawing>
          <wp:inline distT="0" distB="0" distL="0" distR="0">
            <wp:extent cx="4752975" cy="2676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2676509"/>
                    </a:xfrm>
                    <a:prstGeom prst="rect">
                      <a:avLst/>
                    </a:prstGeom>
                    <a:noFill/>
                    <a:ln>
                      <a:noFill/>
                    </a:ln>
                  </pic:spPr>
                </pic:pic>
              </a:graphicData>
            </a:graphic>
          </wp:inline>
        </w:drawing>
      </w:r>
    </w:p>
    <w:p w:rsidR="00F049B2" w:rsidRDefault="00F049B2" w:rsidP="00F049B2">
      <w:pPr>
        <w:rPr>
          <w:rFonts w:ascii="Arial" w:hAnsi="Arial" w:cs="Arial"/>
          <w:sz w:val="20"/>
          <w:szCs w:val="20"/>
        </w:rPr>
      </w:pPr>
      <w:r>
        <w:rPr>
          <w:rFonts w:ascii="Arial" w:hAnsi="Arial" w:cs="Arial"/>
          <w:sz w:val="20"/>
          <w:szCs w:val="20"/>
        </w:rPr>
        <w:t>Select default mapping settings by clicking the blue button as above. Change the maximum number of hits for a read to 1. This ensures that each read lies unique to the reference genome and non-specific matches are not accounted for.</w:t>
      </w:r>
    </w:p>
    <w:p w:rsidR="00F049B2" w:rsidRDefault="00F049B2" w:rsidP="00F049B2">
      <w:pPr>
        <w:jc w:val="center"/>
        <w:rPr>
          <w:rFonts w:ascii="Arial" w:hAnsi="Arial" w:cs="Arial"/>
          <w:sz w:val="20"/>
          <w:szCs w:val="20"/>
        </w:rPr>
      </w:pPr>
      <w:r>
        <w:rPr>
          <w:rFonts w:ascii="Arial" w:hAnsi="Arial" w:cs="Arial"/>
          <w:noProof/>
          <w:sz w:val="20"/>
          <w:szCs w:val="20"/>
          <w:lang w:eastAsia="en-GB"/>
        </w:rPr>
        <w:drawing>
          <wp:inline distT="0" distB="0" distL="0" distR="0">
            <wp:extent cx="5095875" cy="22178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217806"/>
                    </a:xfrm>
                    <a:prstGeom prst="rect">
                      <a:avLst/>
                    </a:prstGeom>
                    <a:noFill/>
                    <a:ln>
                      <a:noFill/>
                    </a:ln>
                  </pic:spPr>
                </pic:pic>
              </a:graphicData>
            </a:graphic>
          </wp:inline>
        </w:drawing>
      </w:r>
    </w:p>
    <w:p w:rsidR="00F049B2" w:rsidRDefault="00F049B2" w:rsidP="00F049B2">
      <w:pPr>
        <w:rPr>
          <w:rFonts w:ascii="Arial" w:hAnsi="Arial" w:cs="Arial"/>
          <w:sz w:val="20"/>
          <w:szCs w:val="20"/>
        </w:rPr>
      </w:pPr>
      <w:r>
        <w:rPr>
          <w:rFonts w:ascii="Arial" w:hAnsi="Arial" w:cs="Arial"/>
          <w:sz w:val="20"/>
          <w:szCs w:val="20"/>
        </w:rPr>
        <w:t xml:space="preserve">Use default settings for the remaining screens and that you have selected ‘Create Report.’ After saving, RNA-Seq analysis is now running and </w:t>
      </w:r>
      <w:r w:rsidR="00177325">
        <w:rPr>
          <w:rFonts w:ascii="Arial" w:hAnsi="Arial" w:cs="Arial"/>
          <w:sz w:val="20"/>
          <w:szCs w:val="20"/>
        </w:rPr>
        <w:t>will last up to 75</w:t>
      </w:r>
      <w:r>
        <w:rPr>
          <w:rFonts w:ascii="Arial" w:hAnsi="Arial" w:cs="Arial"/>
          <w:sz w:val="20"/>
          <w:szCs w:val="20"/>
        </w:rPr>
        <w:t xml:space="preserve">-90 minutes per human sample. </w:t>
      </w:r>
      <w:r w:rsidR="00177325">
        <w:rPr>
          <w:rFonts w:ascii="Arial" w:hAnsi="Arial" w:cs="Arial"/>
          <w:sz w:val="20"/>
          <w:szCs w:val="20"/>
        </w:rPr>
        <w:t>RNA-Sequencing is a CPU intensive process so expect other applications</w:t>
      </w:r>
      <w:r w:rsidR="00060140">
        <w:rPr>
          <w:rFonts w:ascii="Arial" w:hAnsi="Arial" w:cs="Arial"/>
          <w:sz w:val="20"/>
          <w:szCs w:val="20"/>
        </w:rPr>
        <w:t xml:space="preserve"> to</w:t>
      </w:r>
      <w:r w:rsidR="00177325">
        <w:rPr>
          <w:rFonts w:ascii="Arial" w:hAnsi="Arial" w:cs="Arial"/>
          <w:sz w:val="20"/>
          <w:szCs w:val="20"/>
        </w:rPr>
        <w:t xml:space="preserve"> run more slowly.</w:t>
      </w:r>
    </w:p>
    <w:p w:rsidR="00F049B2" w:rsidRDefault="00F049B2" w:rsidP="00F049B2">
      <w:pPr>
        <w:rPr>
          <w:rFonts w:ascii="Arial" w:hAnsi="Arial" w:cs="Arial"/>
          <w:sz w:val="20"/>
          <w:szCs w:val="20"/>
        </w:rPr>
      </w:pPr>
      <w:r>
        <w:rPr>
          <w:rFonts w:ascii="Arial" w:hAnsi="Arial" w:cs="Arial"/>
          <w:noProof/>
          <w:sz w:val="20"/>
          <w:szCs w:val="20"/>
          <w:lang w:eastAsia="en-GB"/>
        </w:rPr>
        <w:drawing>
          <wp:inline distT="0" distB="0" distL="0" distR="0">
            <wp:extent cx="2752725" cy="1019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019175"/>
                    </a:xfrm>
                    <a:prstGeom prst="rect">
                      <a:avLst/>
                    </a:prstGeom>
                    <a:noFill/>
                    <a:ln>
                      <a:noFill/>
                    </a:ln>
                  </pic:spPr>
                </pic:pic>
              </a:graphicData>
            </a:graphic>
          </wp:inline>
        </w:drawing>
      </w:r>
    </w:p>
    <w:p w:rsidR="00F049B2" w:rsidRPr="00F049B2" w:rsidRDefault="00F049B2" w:rsidP="00A70AD7">
      <w:pPr>
        <w:rPr>
          <w:rFonts w:ascii="Arial" w:hAnsi="Arial" w:cs="Arial"/>
          <w:sz w:val="20"/>
          <w:szCs w:val="20"/>
        </w:rPr>
      </w:pPr>
      <w:r>
        <w:rPr>
          <w:rFonts w:ascii="Arial" w:hAnsi="Arial" w:cs="Arial"/>
          <w:sz w:val="20"/>
          <w:szCs w:val="20"/>
        </w:rPr>
        <w:t>On completion, four files appear with (GE) indicating gene expression across 57,773 gene spliced variants and (TE) indicating transcript expression.</w:t>
      </w:r>
    </w:p>
    <w:p w:rsidR="00A70AD7" w:rsidRDefault="00A70AD7" w:rsidP="007331D6">
      <w:pPr>
        <w:rPr>
          <w:rFonts w:ascii="Arial" w:hAnsi="Arial" w:cs="Arial"/>
          <w:sz w:val="20"/>
          <w:szCs w:val="20"/>
        </w:rPr>
      </w:pPr>
    </w:p>
    <w:p w:rsidR="00B35D4F" w:rsidRDefault="00B35D4F" w:rsidP="007331D6">
      <w:pPr>
        <w:rPr>
          <w:rFonts w:ascii="Arial" w:hAnsi="Arial" w:cs="Arial"/>
          <w:sz w:val="20"/>
          <w:szCs w:val="20"/>
        </w:rPr>
      </w:pPr>
    </w:p>
    <w:p w:rsidR="00B35D4F" w:rsidRDefault="00B35D4F" w:rsidP="007331D6">
      <w:pPr>
        <w:rPr>
          <w:rFonts w:ascii="Arial" w:hAnsi="Arial" w:cs="Arial"/>
          <w:sz w:val="20"/>
          <w:szCs w:val="20"/>
        </w:rPr>
      </w:pPr>
    </w:p>
    <w:p w:rsidR="00B35D4F" w:rsidRPr="00A81306" w:rsidRDefault="00B35D4F" w:rsidP="00B35D4F">
      <w:pPr>
        <w:pStyle w:val="ListParagraph"/>
        <w:numPr>
          <w:ilvl w:val="0"/>
          <w:numId w:val="1"/>
        </w:numPr>
        <w:rPr>
          <w:rFonts w:ascii="Arial" w:hAnsi="Arial" w:cs="Arial"/>
          <w:b/>
        </w:rPr>
      </w:pPr>
      <w:r>
        <w:rPr>
          <w:rFonts w:ascii="Arial" w:hAnsi="Arial" w:cs="Arial"/>
          <w:b/>
        </w:rPr>
        <w:lastRenderedPageBreak/>
        <w:t>Download Dataset</w:t>
      </w:r>
    </w:p>
    <w:p w:rsidR="00B35D4F" w:rsidRDefault="00B35D4F" w:rsidP="00B35D4F">
      <w:pPr>
        <w:rPr>
          <w:rFonts w:ascii="Arial" w:hAnsi="Arial" w:cs="Arial"/>
          <w:sz w:val="20"/>
          <w:szCs w:val="20"/>
        </w:rPr>
      </w:pPr>
      <w:r>
        <w:rPr>
          <w:rFonts w:ascii="Arial" w:hAnsi="Arial" w:cs="Arial"/>
          <w:sz w:val="20"/>
          <w:szCs w:val="20"/>
        </w:rPr>
        <w:t>The Healthy dataset for CLC Genomics Workbench import can be downloaded from:</w:t>
      </w:r>
    </w:p>
    <w:p w:rsidR="00B35D4F" w:rsidRPr="00194AA3" w:rsidRDefault="00B35D4F" w:rsidP="00B35D4F">
      <w:pPr>
        <w:rPr>
          <w:rFonts w:ascii="Arial" w:hAnsi="Arial" w:cs="Arial"/>
          <w:b/>
          <w:color w:val="4F81BD" w:themeColor="accent1"/>
          <w:sz w:val="20"/>
          <w:szCs w:val="20"/>
        </w:rPr>
      </w:pPr>
      <w:hyperlink r:id="rId10" w:history="1">
        <w:r w:rsidRPr="00A26A81">
          <w:rPr>
            <w:rStyle w:val="Hyperlink"/>
            <w:rFonts w:ascii="Arial" w:hAnsi="Arial" w:cs="Arial"/>
            <w:b/>
            <w:sz w:val="20"/>
            <w:szCs w:val="20"/>
          </w:rPr>
          <w:t>http://oncowiki.co.uk/support/healthyrawclc.clc</w:t>
        </w:r>
      </w:hyperlink>
      <w:r w:rsidRPr="00194AA3">
        <w:rPr>
          <w:rFonts w:ascii="Arial" w:hAnsi="Arial" w:cs="Arial"/>
          <w:b/>
          <w:color w:val="4F81BD" w:themeColor="accent1"/>
          <w:sz w:val="20"/>
          <w:szCs w:val="20"/>
        </w:rPr>
        <w:t xml:space="preserve">  </w:t>
      </w:r>
    </w:p>
    <w:p w:rsidR="00B35D4F" w:rsidRDefault="00B35D4F" w:rsidP="00B35D4F">
      <w:pPr>
        <w:pStyle w:val="ListParagraph"/>
        <w:numPr>
          <w:ilvl w:val="0"/>
          <w:numId w:val="1"/>
        </w:numPr>
        <w:rPr>
          <w:rFonts w:ascii="Arial" w:hAnsi="Arial" w:cs="Arial"/>
          <w:b/>
        </w:rPr>
      </w:pPr>
      <w:r>
        <w:rPr>
          <w:rFonts w:ascii="Arial" w:hAnsi="Arial" w:cs="Arial"/>
          <w:b/>
        </w:rPr>
        <w:t>Pair-wise Experiment</w:t>
      </w:r>
    </w:p>
    <w:p w:rsidR="00B35D4F" w:rsidRDefault="00B35D4F" w:rsidP="00B35D4F">
      <w:pPr>
        <w:rPr>
          <w:rFonts w:ascii="Arial" w:hAnsi="Arial" w:cs="Arial"/>
          <w:sz w:val="20"/>
          <w:szCs w:val="20"/>
        </w:rPr>
      </w:pPr>
      <w:r>
        <w:rPr>
          <w:rFonts w:ascii="Arial" w:hAnsi="Arial" w:cs="Arial"/>
          <w:sz w:val="20"/>
          <w:szCs w:val="20"/>
        </w:rPr>
        <w:t>In order to generate a fold change measurement between Tumour vs. Healthy, a pair-wise experiment is required.</w:t>
      </w:r>
    </w:p>
    <w:p w:rsidR="00B35D4F" w:rsidRDefault="00B35D4F" w:rsidP="00B35D4F">
      <w:pPr>
        <w:rPr>
          <w:rFonts w:ascii="Arial" w:hAnsi="Arial" w:cs="Arial"/>
          <w:sz w:val="20"/>
          <w:szCs w:val="20"/>
        </w:rPr>
      </w:pPr>
      <w:r>
        <w:rPr>
          <w:rFonts w:ascii="Arial" w:hAnsi="Arial" w:cs="Arial"/>
          <w:sz w:val="20"/>
          <w:szCs w:val="20"/>
        </w:rPr>
        <w:t>Go to Toolbox | Expression Analysis | Set Up Experiment. Select your recently downloaded Healthy dataset first and then an individual RNA-Sequenced (GE) sample</w:t>
      </w:r>
    </w:p>
    <w:p w:rsidR="00B35D4F" w:rsidRDefault="00B35D4F" w:rsidP="00B35D4F">
      <w:pPr>
        <w:rPr>
          <w:rFonts w:ascii="Arial" w:hAnsi="Arial" w:cs="Arial"/>
          <w:sz w:val="20"/>
          <w:szCs w:val="20"/>
        </w:rPr>
      </w:pPr>
      <w:r>
        <w:rPr>
          <w:rFonts w:ascii="Arial" w:hAnsi="Arial" w:cs="Arial"/>
          <w:noProof/>
          <w:sz w:val="20"/>
          <w:szCs w:val="20"/>
          <w:lang w:eastAsia="en-GB"/>
        </w:rPr>
        <w:drawing>
          <wp:inline distT="0" distB="0" distL="0" distR="0" wp14:anchorId="72C38895" wp14:editId="525BA015">
            <wp:extent cx="572452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rsidR="00B35D4F" w:rsidRPr="00B35D4F" w:rsidRDefault="00B35D4F" w:rsidP="00B35D4F">
      <w:pPr>
        <w:rPr>
          <w:rFonts w:ascii="Arial" w:hAnsi="Arial" w:cs="Arial"/>
          <w:sz w:val="20"/>
          <w:szCs w:val="20"/>
        </w:rPr>
      </w:pPr>
      <w:r>
        <w:rPr>
          <w:rFonts w:ascii="Arial" w:hAnsi="Arial" w:cs="Arial"/>
          <w:sz w:val="20"/>
          <w:szCs w:val="20"/>
        </w:rPr>
        <w:t>Use default settings as above and assign names to your two groups such as Healthy and Tumour. Save and open your comparison. Column E (Experiment – Fold Change (original values)) is your fold change between the two samples. Export and save this file as an .xlsx file.</w:t>
      </w:r>
    </w:p>
    <w:p w:rsidR="00B35D4F" w:rsidRPr="00864F16" w:rsidRDefault="00B35D4F" w:rsidP="00B35D4F">
      <w:pPr>
        <w:pStyle w:val="ListParagraph"/>
        <w:numPr>
          <w:ilvl w:val="0"/>
          <w:numId w:val="1"/>
        </w:numPr>
        <w:rPr>
          <w:rFonts w:ascii="Arial" w:hAnsi="Arial" w:cs="Arial"/>
          <w:b/>
        </w:rPr>
      </w:pPr>
      <w:r>
        <w:rPr>
          <w:rFonts w:ascii="Arial" w:hAnsi="Arial" w:cs="Arial"/>
          <w:b/>
        </w:rPr>
        <w:t>Fold Changes Explanation</w:t>
      </w:r>
    </w:p>
    <w:p w:rsidR="00B35D4F" w:rsidRPr="00AB7E64" w:rsidRDefault="00B35D4F" w:rsidP="00B35D4F">
      <w:pPr>
        <w:rPr>
          <w:rFonts w:ascii="Arial" w:hAnsi="Arial" w:cs="Arial"/>
          <w:sz w:val="20"/>
          <w:szCs w:val="20"/>
        </w:rPr>
      </w:pPr>
      <w:r w:rsidRPr="00AB7E64">
        <w:rPr>
          <w:rFonts w:ascii="Arial" w:hAnsi="Arial" w:cs="Arial"/>
          <w:sz w:val="20"/>
          <w:szCs w:val="20"/>
        </w:rPr>
        <w:t>Fold changes are measure of how many times bigger the mean expression value is. We have measured expression using total counts of reads mapped to the exons of genes and normalised through RPKM. If the mean expression value in:</w:t>
      </w:r>
    </w:p>
    <w:p w:rsidR="00B35D4F" w:rsidRPr="00AB7E64" w:rsidRDefault="00B35D4F" w:rsidP="00B35D4F">
      <w:pPr>
        <w:rPr>
          <w:rFonts w:ascii="Arial" w:hAnsi="Arial" w:cs="Arial"/>
          <w:sz w:val="20"/>
          <w:szCs w:val="20"/>
        </w:rPr>
      </w:pPr>
      <w:r w:rsidRPr="00AB7E64">
        <w:rPr>
          <w:rFonts w:ascii="Arial" w:hAnsi="Arial" w:cs="Arial"/>
          <w:sz w:val="20"/>
          <w:szCs w:val="20"/>
        </w:rPr>
        <w:t>The title of your file e.g. Healthy vs. Tumour correspond to Group 1 (Healthy) and Group 2 (Tumour).</w:t>
      </w:r>
    </w:p>
    <w:p w:rsidR="00B35D4F" w:rsidRPr="00AB7E64" w:rsidRDefault="00B35D4F" w:rsidP="00B35D4F">
      <w:pPr>
        <w:rPr>
          <w:rFonts w:ascii="Arial" w:hAnsi="Arial" w:cs="Arial"/>
          <w:sz w:val="20"/>
          <w:szCs w:val="20"/>
        </w:rPr>
      </w:pPr>
      <w:r w:rsidRPr="00AB7E64">
        <w:rPr>
          <w:rFonts w:ascii="Arial" w:hAnsi="Arial" w:cs="Arial"/>
          <w:sz w:val="20"/>
          <w:szCs w:val="20"/>
        </w:rPr>
        <w:t>Group 2 &gt; Group 1: Group 2 / Group 1 (+ve sign)</w:t>
      </w:r>
    </w:p>
    <w:p w:rsidR="00B35D4F" w:rsidRPr="00AB7E64" w:rsidRDefault="00B35D4F" w:rsidP="00B35D4F">
      <w:pPr>
        <w:rPr>
          <w:rFonts w:ascii="Arial" w:hAnsi="Arial" w:cs="Arial"/>
          <w:sz w:val="20"/>
          <w:szCs w:val="20"/>
        </w:rPr>
      </w:pPr>
      <w:r w:rsidRPr="00AB7E64">
        <w:rPr>
          <w:rFonts w:ascii="Arial" w:hAnsi="Arial" w:cs="Arial"/>
          <w:sz w:val="20"/>
          <w:szCs w:val="20"/>
        </w:rPr>
        <w:t>Group 1 &gt; Group 2: Group 1 / Group 2 (-ve sign)</w:t>
      </w:r>
    </w:p>
    <w:p w:rsidR="00B35D4F" w:rsidRPr="00735E24" w:rsidRDefault="00B35D4F" w:rsidP="007331D6">
      <w:pPr>
        <w:rPr>
          <w:rFonts w:ascii="Arial" w:hAnsi="Arial" w:cs="Arial"/>
          <w:sz w:val="20"/>
          <w:szCs w:val="20"/>
        </w:rPr>
      </w:pPr>
      <w:r w:rsidRPr="00AB7E64">
        <w:rPr>
          <w:rFonts w:ascii="Arial" w:hAnsi="Arial" w:cs="Arial"/>
          <w:sz w:val="20"/>
          <w:szCs w:val="20"/>
        </w:rPr>
        <w:t>If using the 'Healthy vs. Tumour' dataset,  a positive fold change indicates that the tumour gene is upregulated and a negative fold change indicates that the tumour gene is downregulated</w:t>
      </w:r>
      <w:r>
        <w:rPr>
          <w:rFonts w:ascii="Arial" w:hAnsi="Arial" w:cs="Arial"/>
          <w:sz w:val="20"/>
          <w:szCs w:val="20"/>
        </w:rPr>
        <w:t xml:space="preserve"> with comparison to the healthy.</w:t>
      </w:r>
      <w:bookmarkStart w:id="0" w:name="_GoBack"/>
      <w:bookmarkEnd w:id="0"/>
    </w:p>
    <w:sectPr w:rsidR="00B35D4F" w:rsidRPr="00735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5580"/>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8B5701"/>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BB2961"/>
    <w:multiLevelType w:val="hybridMultilevel"/>
    <w:tmpl w:val="3280A480"/>
    <w:lvl w:ilvl="0" w:tplc="8FF884A6">
      <w:start w:val="4"/>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764023F"/>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6866BC"/>
    <w:multiLevelType w:val="hybridMultilevel"/>
    <w:tmpl w:val="D5A0EF92"/>
    <w:lvl w:ilvl="0" w:tplc="7F28AEC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9E495B"/>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A15D12"/>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4755FD"/>
    <w:multiLevelType w:val="hybridMultilevel"/>
    <w:tmpl w:val="B55C30C0"/>
    <w:lvl w:ilvl="0" w:tplc="B868FEC0">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CE3737"/>
    <w:multiLevelType w:val="hybridMultilevel"/>
    <w:tmpl w:val="AD80AFD6"/>
    <w:lvl w:ilvl="0" w:tplc="9BA4767A">
      <w:start w:val="4"/>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E4758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A547779"/>
    <w:multiLevelType w:val="hybridMultilevel"/>
    <w:tmpl w:val="8C0EA0A4"/>
    <w:lvl w:ilvl="0" w:tplc="61A8C05E">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BB5341"/>
    <w:multiLevelType w:val="hybridMultilevel"/>
    <w:tmpl w:val="0E88F560"/>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C3061D"/>
    <w:multiLevelType w:val="hybridMultilevel"/>
    <w:tmpl w:val="9006C50C"/>
    <w:lvl w:ilvl="0" w:tplc="DED8BECE">
      <w:start w:val="5"/>
      <w:numFmt w:val="upperLetter"/>
      <w:lvlText w:val="%1&gt;"/>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53505D06"/>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6D66FD"/>
    <w:multiLevelType w:val="hybridMultilevel"/>
    <w:tmpl w:val="A0849538"/>
    <w:lvl w:ilvl="0" w:tplc="001227B4">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7D714A2"/>
    <w:multiLevelType w:val="hybridMultilevel"/>
    <w:tmpl w:val="1B96B77E"/>
    <w:lvl w:ilvl="0" w:tplc="6D26B910">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0212205"/>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A87493"/>
    <w:multiLevelType w:val="hybridMultilevel"/>
    <w:tmpl w:val="A8487996"/>
    <w:lvl w:ilvl="0" w:tplc="08090015">
      <w:start w:val="1"/>
      <w:numFmt w:val="upperLetter"/>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0C04867"/>
    <w:multiLevelType w:val="hybridMultilevel"/>
    <w:tmpl w:val="F6CA480A"/>
    <w:lvl w:ilvl="0" w:tplc="56B4D1D8">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EA54CD8"/>
    <w:multiLevelType w:val="hybridMultilevel"/>
    <w:tmpl w:val="178A497E"/>
    <w:lvl w:ilvl="0" w:tplc="68C014FA">
      <w:start w:val="3"/>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F45445F"/>
    <w:multiLevelType w:val="hybridMultilevel"/>
    <w:tmpl w:val="9BCC4714"/>
    <w:lvl w:ilvl="0" w:tplc="D8BC36F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14"/>
  </w:num>
  <w:num w:numId="5">
    <w:abstractNumId w:val="0"/>
  </w:num>
  <w:num w:numId="6">
    <w:abstractNumId w:val="18"/>
  </w:num>
  <w:num w:numId="7">
    <w:abstractNumId w:val="19"/>
  </w:num>
  <w:num w:numId="8">
    <w:abstractNumId w:val="6"/>
  </w:num>
  <w:num w:numId="9">
    <w:abstractNumId w:val="10"/>
  </w:num>
  <w:num w:numId="10">
    <w:abstractNumId w:val="8"/>
  </w:num>
  <w:num w:numId="11">
    <w:abstractNumId w:val="3"/>
  </w:num>
  <w:num w:numId="12">
    <w:abstractNumId w:val="12"/>
  </w:num>
  <w:num w:numId="13">
    <w:abstractNumId w:val="20"/>
  </w:num>
  <w:num w:numId="14">
    <w:abstractNumId w:val="4"/>
  </w:num>
  <w:num w:numId="15">
    <w:abstractNumId w:val="9"/>
  </w:num>
  <w:num w:numId="16">
    <w:abstractNumId w:val="11"/>
  </w:num>
  <w:num w:numId="17">
    <w:abstractNumId w:val="7"/>
  </w:num>
  <w:num w:numId="18">
    <w:abstractNumId w:val="16"/>
  </w:num>
  <w:num w:numId="19">
    <w:abstractNumId w:val="5"/>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4"/>
    <w:rsid w:val="000043C0"/>
    <w:rsid w:val="00006FC7"/>
    <w:rsid w:val="00044CA9"/>
    <w:rsid w:val="00060140"/>
    <w:rsid w:val="000C52FF"/>
    <w:rsid w:val="000D2370"/>
    <w:rsid w:val="000E79E0"/>
    <w:rsid w:val="00177325"/>
    <w:rsid w:val="001A087A"/>
    <w:rsid w:val="00225E1D"/>
    <w:rsid w:val="00236C6F"/>
    <w:rsid w:val="002B7FB1"/>
    <w:rsid w:val="002C2A15"/>
    <w:rsid w:val="002C7A42"/>
    <w:rsid w:val="002E3007"/>
    <w:rsid w:val="002E3D67"/>
    <w:rsid w:val="002F4B6B"/>
    <w:rsid w:val="00325CCE"/>
    <w:rsid w:val="00330CB6"/>
    <w:rsid w:val="0036365B"/>
    <w:rsid w:val="00384BFE"/>
    <w:rsid w:val="003A37DB"/>
    <w:rsid w:val="003D2617"/>
    <w:rsid w:val="003F6B40"/>
    <w:rsid w:val="00413D2B"/>
    <w:rsid w:val="00444449"/>
    <w:rsid w:val="0045134A"/>
    <w:rsid w:val="004728C5"/>
    <w:rsid w:val="00495231"/>
    <w:rsid w:val="004B25B7"/>
    <w:rsid w:val="004C51CC"/>
    <w:rsid w:val="004F53AA"/>
    <w:rsid w:val="004F67F2"/>
    <w:rsid w:val="005000AF"/>
    <w:rsid w:val="005006F9"/>
    <w:rsid w:val="00520502"/>
    <w:rsid w:val="00571159"/>
    <w:rsid w:val="005831FE"/>
    <w:rsid w:val="005F0EE5"/>
    <w:rsid w:val="005F649C"/>
    <w:rsid w:val="00604911"/>
    <w:rsid w:val="0066734E"/>
    <w:rsid w:val="006B30B9"/>
    <w:rsid w:val="006D2A36"/>
    <w:rsid w:val="00712E41"/>
    <w:rsid w:val="007331D6"/>
    <w:rsid w:val="00735E24"/>
    <w:rsid w:val="00755AEC"/>
    <w:rsid w:val="00787688"/>
    <w:rsid w:val="007A3717"/>
    <w:rsid w:val="007E2CDA"/>
    <w:rsid w:val="008033E8"/>
    <w:rsid w:val="008227CA"/>
    <w:rsid w:val="00823CD3"/>
    <w:rsid w:val="00827AA1"/>
    <w:rsid w:val="0083733B"/>
    <w:rsid w:val="0088105F"/>
    <w:rsid w:val="008C0098"/>
    <w:rsid w:val="008C48AA"/>
    <w:rsid w:val="008D4416"/>
    <w:rsid w:val="008F0B2C"/>
    <w:rsid w:val="008F67EE"/>
    <w:rsid w:val="009007AB"/>
    <w:rsid w:val="00920F87"/>
    <w:rsid w:val="009355DE"/>
    <w:rsid w:val="009517DB"/>
    <w:rsid w:val="009C0A9E"/>
    <w:rsid w:val="009F7ECE"/>
    <w:rsid w:val="00A0330E"/>
    <w:rsid w:val="00A15F38"/>
    <w:rsid w:val="00A46BA8"/>
    <w:rsid w:val="00A70AD7"/>
    <w:rsid w:val="00A81306"/>
    <w:rsid w:val="00B12D3B"/>
    <w:rsid w:val="00B242DE"/>
    <w:rsid w:val="00B256E1"/>
    <w:rsid w:val="00B3082D"/>
    <w:rsid w:val="00B35D4F"/>
    <w:rsid w:val="00B47F7F"/>
    <w:rsid w:val="00B547F3"/>
    <w:rsid w:val="00B66E06"/>
    <w:rsid w:val="00B703B6"/>
    <w:rsid w:val="00B810CF"/>
    <w:rsid w:val="00BA1B5D"/>
    <w:rsid w:val="00C22D1E"/>
    <w:rsid w:val="00C33239"/>
    <w:rsid w:val="00D3180C"/>
    <w:rsid w:val="00D5245A"/>
    <w:rsid w:val="00DE66E6"/>
    <w:rsid w:val="00E42557"/>
    <w:rsid w:val="00EA0A44"/>
    <w:rsid w:val="00EE7AFD"/>
    <w:rsid w:val="00F049B2"/>
    <w:rsid w:val="00F23F77"/>
    <w:rsid w:val="00F75264"/>
    <w:rsid w:val="00FB398D"/>
    <w:rsid w:val="00FC013A"/>
    <w:rsid w:val="00FD56A6"/>
    <w:rsid w:val="00FE0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A44"/>
    <w:rPr>
      <w:color w:val="0000FF" w:themeColor="hyperlink"/>
      <w:u w:val="single"/>
    </w:rPr>
  </w:style>
  <w:style w:type="paragraph" w:styleId="ListParagraph">
    <w:name w:val="List Paragraph"/>
    <w:basedOn w:val="Normal"/>
    <w:uiPriority w:val="34"/>
    <w:qFormat/>
    <w:rsid w:val="00EA0A44"/>
    <w:pPr>
      <w:ind w:left="720"/>
      <w:contextualSpacing/>
    </w:pPr>
  </w:style>
  <w:style w:type="character" w:styleId="FollowedHyperlink">
    <w:name w:val="FollowedHyperlink"/>
    <w:basedOn w:val="DefaultParagraphFont"/>
    <w:uiPriority w:val="99"/>
    <w:semiHidden/>
    <w:unhideWhenUsed/>
    <w:rsid w:val="002C2A15"/>
    <w:rPr>
      <w:color w:val="800080" w:themeColor="followedHyperlink"/>
      <w:u w:val="single"/>
    </w:rPr>
  </w:style>
  <w:style w:type="character" w:styleId="Strong">
    <w:name w:val="Strong"/>
    <w:basedOn w:val="DefaultParagraphFont"/>
    <w:uiPriority w:val="22"/>
    <w:qFormat/>
    <w:rsid w:val="000D2370"/>
    <w:rPr>
      <w:b/>
      <w:bCs/>
    </w:rPr>
  </w:style>
  <w:style w:type="table" w:styleId="TableGrid">
    <w:name w:val="Table Grid"/>
    <w:basedOn w:val="TableNormal"/>
    <w:uiPriority w:val="59"/>
    <w:rsid w:val="00B3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007"/>
    <w:rPr>
      <w:rFonts w:ascii="Tahoma" w:hAnsi="Tahoma" w:cs="Tahoma"/>
      <w:sz w:val="16"/>
      <w:szCs w:val="16"/>
    </w:rPr>
  </w:style>
  <w:style w:type="table" w:styleId="LightList-Accent5">
    <w:name w:val="Light List Accent 5"/>
    <w:basedOn w:val="TableNormal"/>
    <w:uiPriority w:val="61"/>
    <w:rsid w:val="00F75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uiPriority w:val="1"/>
    <w:qFormat/>
    <w:rsid w:val="00F75264"/>
    <w:pPr>
      <w:spacing w:after="0" w:line="240" w:lineRule="auto"/>
    </w:pPr>
  </w:style>
  <w:style w:type="table" w:styleId="LightShading-Accent1">
    <w:name w:val="Light Shading Accent 1"/>
    <w:basedOn w:val="TableNormal"/>
    <w:uiPriority w:val="60"/>
    <w:rsid w:val="006D2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D2A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oncowiki.co.uk/support/healthyrawclc.cl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Keaan</dc:creator>
  <cp:lastModifiedBy>Keaan</cp:lastModifiedBy>
  <cp:revision>6</cp:revision>
  <dcterms:created xsi:type="dcterms:W3CDTF">2016-02-24T15:08:00Z</dcterms:created>
  <dcterms:modified xsi:type="dcterms:W3CDTF">2016-03-27T11:29:00Z</dcterms:modified>
</cp:coreProperties>
</file>