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visual design skills and interactive/digital advertising experiences by 35% through the implementation of innovative design strategies and tools.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Led high-level creative strategies for global brands, improving campaign effectiveness by 50% through data-driven decision making and experimentation.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creative development process and copywriting for all formats, reducing project turnaround time by 30% and increasing team productivity.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