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the performance of large-scale systems by 60% through the implementation of Machine Learning and Deep Learning algorithms.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Reduced end-to-end application deployment time and manual steps by </w:t>
      </w:r>
      <w:r>
        <w:rPr>
          <w:rFonts w:ascii="Consolas" w:eastAsia="Consolas" w:hAnsi="Consolas" w:cs="Consolas"/>
          <w:b/>
          <w:sz w:val="22"/>
          <w:szCs w:val="22"/>
        </w:rPr>
        <w:t>50%</w:t>
      </w:r>
      <w:r>
        <w:rPr>
          <w:rFonts w:ascii="Consolas" w:eastAsia="Consolas" w:hAnsi="Consolas" w:cs="Consolas"/>
          <w:sz w:val="22"/>
          <w:szCs w:val="22"/>
        </w:rPr>
        <w:t xml:space="preserve"> using </w:t>
      </w:r>
      <w:r>
        <w:rPr>
          <w:rFonts w:ascii="Consolas" w:eastAsia="Consolas" w:hAnsi="Consolas" w:cs="Consolas"/>
          <w:b/>
          <w:sz w:val="22"/>
          <w:szCs w:val="22"/>
        </w:rPr>
        <w:t>Gitlab CI, Docker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Deployed and maintained </w:t>
      </w:r>
      <w:r>
        <w:rPr>
          <w:rFonts w:ascii="Consolas" w:eastAsia="Consolas" w:hAnsi="Consolas" w:cs="Consolas"/>
          <w:b/>
          <w:sz w:val="22"/>
          <w:szCs w:val="22"/>
        </w:rPr>
        <w:t>Tenable SC and Trend Micro</w:t>
      </w:r>
      <w:r>
        <w:rPr>
          <w:rFonts w:ascii="Consolas" w:eastAsia="Consolas" w:hAnsi="Consolas" w:cs="Consolas"/>
          <w:sz w:val="22"/>
          <w:szCs w:val="22"/>
        </w:rPr>
        <w:t xml:space="preserve"> across 10+ multi-region AWS accounts, significantly decreased vulnerabilities by automating security scans. 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Boosted ad revenue by 30% by developing and optimizing brand and content ad auctions, bidding, and ranking systems.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Improved system backend by 50% by utilizing Go and C/C++ for efficient full-stack development.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