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the performance of real-time computer vision applications by 50% by incorporating sensor data and developing robust algorithms.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Implemented metrology tools and computer vision-based technologies, improving optical calibration and lens rectification by 40%.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image distortion correction and headset metrology methodologies by 35% through the application of advanced optical design principles.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