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the impact of campaigns by 70% by integrating data-driven strategies and high creative standards.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presentation skills and ability to defend creative decisions by 80% through rigorous training and practice.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visual design skills and interactive/digital advertising experiences by 60% through the implementation of innovative design techniques and tools.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