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Increased scalability and reliability of 6+ applications by </w:t>
      </w:r>
      <w:r>
        <w:rPr>
          <w:rFonts w:ascii="Consolas" w:eastAsia="Consolas" w:hAnsi="Consolas" w:cs="Consolas"/>
          <w:b/>
          <w:sz w:val="22"/>
          <w:szCs w:val="22"/>
        </w:rPr>
        <w:t>40%</w:t>
      </w:r>
      <w:r>
        <w:rPr>
          <w:rFonts w:ascii="Consolas" w:eastAsia="Consolas" w:hAnsi="Consolas" w:cs="Consolas"/>
          <w:sz w:val="22"/>
          <w:szCs w:val="22"/>
        </w:rPr>
        <w:t xml:space="preserve">, migrating hybrid infrastructure to </w:t>
      </w:r>
      <w:r>
        <w:rPr>
          <w:rFonts w:ascii="Consolas" w:eastAsia="Consolas" w:hAnsi="Consolas" w:cs="Consolas"/>
          <w:b/>
          <w:sz w:val="22"/>
          <w:szCs w:val="22"/>
        </w:rPr>
        <w:t>AWS ECS, ECR, RDS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MQ</w:t>
      </w:r>
      <w:r>
        <w:rPr>
          <w:rFonts w:ascii="Consolas" w:eastAsia="Consolas" w:hAnsi="Consolas" w:cs="Consolas"/>
          <w:sz w:val="22"/>
          <w:szCs w:val="22"/>
        </w:rPr>
        <w:t xml:space="preserve"> with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 xml:space="preserve">. 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design of Plumbing systems in Healthcare market by 35% through the application of California Plumbing Code and National Plumbing Code.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project leadership in technical, administrative, and financial aspects by 50% utilizing HCAI codes and standards and NFPA-99.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Improved proficiency in Revit and AutoCAD by 40%, contributing to efficient design and project management.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