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operational efficiency and personalization by 35% through the implementation of AI/ML solutions and React.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KPIs and performance tracking by 50% by integrating APIs and SaaS environments.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content ranking by 40% using Node.js, GraphQL, and Typescript in a Kubernetes environment.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