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budgeting and reporting processes by implementing Microsoft Excel and Power BI, resulting in a 20% reduction in financial discrepancies.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public policy development and community engagement through strategic advising and presentation preparation, leading to a 30% increase in stakeholder satisfaction.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Led a multi-disciplinary team to develop an inclusive community engagement strategy, improving outreach to disadvantaged communities by 50%.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