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engineering process efficiency by 50% by integrating Matlab and Python into the workflow.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Improved the reliability of human-rated spacecraft by 70% through the application of Ethernet, UDP, TCP/IP, SPI, I2C, PCIe, and SGMII/RGMII standards.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RF communication systems by 60% through the implementation of advanced system design and fault tolerance techniques.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