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center"/>
      </w:pPr>
      <w:r>
        <w:rPr>
          <w:b/>
          <w:bCs/>
          <w:sz w:val="32"/>
          <w:szCs w:val="32"/>
        </w:rPr>
        <w:t xml:space="preserve">LABOR RELATIONS BOARD</w:t>
      </w:r>
    </w:p>
    <w:p>
      <w:pPr>
        <w:spacing w:after="80"/>
        <w:jc w:val="center"/>
      </w:pPr>
      <w:r>
        <w:rPr>
          <w:b/>
          <w:bCs/>
          <w:sz w:val="26"/>
          <w:szCs w:val="26"/>
        </w:rPr>
        <w:t xml:space="preserve">REGIONAL OFFICE</w:t>
      </w:r>
    </w:p>
    <w:p>
      <w:pPr>
        <w:spacing w:before="480" w:after="80"/>
        <w:jc w:val="center"/>
      </w:pPr>
      <w:r>
        <w:rPr>
          <w:b/>
          <w:bCs/>
          <w:sz w:val="30"/>
          <w:szCs w:val="30"/>
        </w:rPr>
        <w:t xml:space="preserve">INVESTIGATION MEMORANDUM</w:t>
      </w:r>
    </w:p>
    <w:p>
      <w:pPr>
        <w:spacing w:after="480"/>
        <w:jc w:val="center"/>
      </w:pPr>
      <w:r>
        <w:rPr>
          <w:i/>
          <w:iCs/>
          <w:sz w:val="22"/>
          <w:szCs w:val="22"/>
        </w:rPr>
        <w:t xml:space="preserve">(Fictional Training Sample — For Educational Use Only)</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tblGrid>
      <w:tr>
        <w:tc>
          <w:tcPr>
            <w:tcW w:type="dxa" w:w="26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b/>
                <w:bCs/>
                <w:sz w:val="18"/>
                <w:szCs w:val="18"/>
              </w:rPr>
              <w:t xml:space="preserve">Case No.:</w:t>
            </w:r>
          </w:p>
        </w:tc>
        <w:tc>
          <w:tcPr>
            <w:tcW w:type="dxa" w:w="4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LRB-CA-2025-0147</w:t>
            </w:r>
          </w:p>
        </w:tc>
      </w:tr>
      <w:tr>
        <w:tc>
          <w:tcPr>
            <w:tcW w:type="dxa" w:w="26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b/>
                <w:bCs/>
                <w:sz w:val="18"/>
                <w:szCs w:val="18"/>
              </w:rPr>
              <w:t xml:space="preserve">Charging Party:</w:t>
            </w:r>
          </w:p>
        </w:tc>
        <w:tc>
          <w:tcPr>
            <w:tcW w:type="dxa" w:w="4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Allied Production Workers Union, Local 47 (APWU Local 47)</w:t>
            </w:r>
          </w:p>
        </w:tc>
      </w:tr>
      <w:tr>
        <w:tc>
          <w:tcPr>
            <w:tcW w:type="dxa" w:w="26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b/>
                <w:bCs/>
                <w:sz w:val="18"/>
                <w:szCs w:val="18"/>
              </w:rPr>
              <w:t xml:space="preserve">Respondent:</w:t>
            </w:r>
          </w:p>
        </w:tc>
        <w:tc>
          <w:tcPr>
            <w:tcW w:type="dxa" w:w="4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Northgate Precision Manufacturing, Inc.</w:t>
            </w:r>
          </w:p>
        </w:tc>
      </w:tr>
      <w:tr>
        <w:tc>
          <w:tcPr>
            <w:tcW w:type="dxa" w:w="26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b/>
                <w:bCs/>
                <w:sz w:val="18"/>
                <w:szCs w:val="18"/>
              </w:rPr>
              <w:t xml:space="preserve">Charge Filed:</w:t>
            </w:r>
          </w:p>
        </w:tc>
        <w:tc>
          <w:tcPr>
            <w:tcW w:type="dxa" w:w="4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March 14, 2025</w:t>
            </w:r>
          </w:p>
        </w:tc>
      </w:tr>
      <w:tr>
        <w:tc>
          <w:tcPr>
            <w:tcW w:type="dxa" w:w="26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b/>
                <w:bCs/>
                <w:sz w:val="18"/>
                <w:szCs w:val="18"/>
              </w:rPr>
              <w:t xml:space="preserve">Investigator:</w:t>
            </w:r>
          </w:p>
        </w:tc>
        <w:tc>
          <w:tcPr>
            <w:tcW w:type="dxa" w:w="4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To Be Assigned</w:t>
            </w:r>
          </w:p>
        </w:tc>
      </w:tr>
      <w:tr>
        <w:tc>
          <w:tcPr>
            <w:tcW w:type="dxa" w:w="26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b/>
                <w:bCs/>
                <w:sz w:val="18"/>
                <w:szCs w:val="18"/>
              </w:rPr>
              <w:t xml:space="preserve">Date of Memorandum:</w:t>
            </w:r>
          </w:p>
        </w:tc>
        <w:tc>
          <w:tcPr>
            <w:tcW w:type="dxa" w:w="4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June 2, 2025</w:t>
            </w:r>
          </w:p>
        </w:tc>
      </w:tr>
      <w:tr>
        <w:tc>
          <w:tcPr>
            <w:tcW w:type="dxa" w:w="2600"/>
            <w:tcBorders>
              <w:top w:val="single" w:color="BBBBBB" w:sz="1"/>
              <w:left w:val="single" w:color="BBBBBB" w:sz="1"/>
              <w:bottom w:val="single" w:color="BBBBBB" w:sz="1"/>
              <w:right w:val="single" w:color="BBBBBB" w:sz="1"/>
            </w:tcBorders>
            <w:shd w:fill="D9E2F3" w:val="clear"/>
            <w:tcMar>
              <w:top w:type="dxa" w:w="80"/>
              <w:left w:type="dxa" w:w="120"/>
              <w:bottom w:type="dxa" w:w="80"/>
              <w:right w:type="dxa" w:w="120"/>
            </w:tcMar>
          </w:tcPr>
          <w:p>
            <w:r>
              <w:rPr>
                <w:b/>
                <w:bCs/>
                <w:sz w:val="18"/>
                <w:szCs w:val="18"/>
              </w:rPr>
              <w:t xml:space="preserve">Alleged Violations:</w:t>
            </w:r>
          </w:p>
        </w:tc>
        <w:tc>
          <w:tcPr>
            <w:tcW w:type="dxa" w:w="46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Sections 8(a)(1), 8(a)(3), and 8(a)(5) of the Labor Relations Act</w:t>
            </w:r>
          </w:p>
        </w:tc>
      </w:tr>
    </w:tbl>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Case Summary and Charge Allegations</w:t>
      </w:r>
    </w:p>
    <w:p>
      <w:pPr>
        <w:spacing w:after="160" w:line="276"/>
        <w:jc w:val="both"/>
      </w:pPr>
      <w:r>
        <w:t xml:space="preserve">On March 14, 2025, the Allied Production Workers Union, Local 47 (“the Union” or “Charging Party”) filed an unfair labor practice charge against Northgate Precision Manufacturing, Inc. (“the Respondent” or “the Employer”) with the Regional Office of the Labor Relations Board. The charge alleges that the Respondent engaged in a series of unfair labor practices in violation of Sections 8(a)(1), 8(a)(3), and 8(a)(5) of the Labor Relations Act (“the Act”).</w:t>
      </w:r>
    </w:p>
    <w:p>
      <w:pPr>
        <w:spacing w:after="160" w:line="276"/>
        <w:jc w:val="both"/>
      </w:pPr>
      <w:r>
        <w:t xml:space="preserve">This memorandum summarizes the results of the Region’s investigation, evaluates the evidence gathered through witness interviews and document review, applies the relevant legal standards, and sets forth a recommendation regarding the disposition of the charge. The specific allegations are as follows:</w:t>
      </w:r>
    </w:p>
    <w:p>
      <w:pPr>
        <w:pStyle w:val="ListParagraph"/>
        <w:numPr>
          <w:ilvl w:val="0"/>
          <w:numId w:val="2"/>
        </w:numPr>
        <w:spacing w:after="80"/>
      </w:pPr>
      <w:r>
        <w:t xml:space="preserve">Coercive interrogation: The Respondent, through Supervisor Tom Waverly, allegedly interrogated employees about their union activities, including whether they attended union meetings.</w:t>
      </w:r>
    </w:p>
    <w:p>
      <w:pPr>
        <w:pStyle w:val="ListParagraph"/>
        <w:numPr>
          <w:ilvl w:val="0"/>
          <w:numId w:val="2"/>
        </w:numPr>
        <w:spacing w:after="80"/>
      </w:pPr>
      <w:r>
        <w:t xml:space="preserve">Discriminatory discharge: The Respondent allegedly discharged elected shop steward Maria Santos on March 10, 2025, because of her union activity, in the guise of an attendance-policy violation.</w:t>
      </w:r>
    </w:p>
    <w:p>
      <w:pPr>
        <w:pStyle w:val="ListParagraph"/>
        <w:numPr>
          <w:ilvl w:val="0"/>
          <w:numId w:val="2"/>
        </w:numPr>
        <w:spacing w:after="80"/>
      </w:pPr>
      <w:r>
        <w:t xml:space="preserve">Threats of plant closure: The Respondent, through HR Director Patricia Chen, allegedly threatened employees with plant closure if union grievance activity continued.</w:t>
      </w:r>
    </w:p>
    <w:p>
      <w:pPr>
        <w:pStyle w:val="ListParagraph"/>
        <w:numPr>
          <w:ilvl w:val="0"/>
          <w:numId w:val="2"/>
        </w:numPr>
        <w:spacing w:after="80"/>
      </w:pPr>
      <w:r>
        <w:t xml:space="preserve">Unlawful solicitation of surveillance: The Respondent allegedly solicited employees to report on the union activities of their coworkers.</w:t>
      </w:r>
    </w:p>
    <w:p>
      <w:pPr>
        <w:pStyle w:val="ListParagraph"/>
        <w:numPr>
          <w:ilvl w:val="0"/>
          <w:numId w:val="2"/>
        </w:numPr>
        <w:spacing w:after="80"/>
      </w:pPr>
      <w:r>
        <w:t xml:space="preserve">Unilateral change: The Respondent allegedly implemented a new attendance policy effective January 8, 2025, without first bargaining with the Union over the change.</w:t>
      </w:r>
    </w:p>
    <w:p>
      <w:pPr>
        <w:pStyle w:val="ListParagraph"/>
        <w:numPr>
          <w:ilvl w:val="0"/>
          <w:numId w:val="2"/>
        </w:numPr>
        <w:spacing w:after="80"/>
      </w:pPr>
      <w:r>
        <w:t xml:space="preserve">Refusal to bargain over safety: The Respondent allegedly refused to bargain in good faith over safety protocols in Stamping Department B following two workplace injuries.</w:t>
      </w:r>
    </w:p>
    <w:p>
      <w:pPr>
        <w:spacing w:after="160" w:line="276"/>
        <w:jc w:val="both"/>
      </w:pPr>
      <w:r>
        <w:t xml:space="preserve">As set forth below, the investigation developed substantial evidence supporting each theory of violation. The Region recommends that complaint issue on all counts.</w:t>
      </w:r>
    </w:p>
    <w:p>
      <w:pPr>
        <w:pStyle w:val="Heading1"/>
      </w:pPr>
      <w:r>
        <w:t xml:space="preserve">2.  Employer / Respondent Background</w:t>
      </w:r>
    </w:p>
    <w:p>
      <w:pPr>
        <w:spacing w:after="160" w:line="276"/>
        <w:jc w:val="both"/>
      </w:pPr>
      <w:r>
        <w:t xml:space="preserve">Northgate Precision Manufacturing, Inc. is a mid-sized manufacturer that produces precision metal stampings, machined components, and sub-assemblies for customers in the aerospace and automotive industries. The facility at issue is the Respondent’s primary production plant, which employs approximately 340 production and maintenance employees across three shifts.</w:t>
      </w:r>
    </w:p>
    <w:p>
      <w:pPr>
        <w:spacing w:after="160" w:line="276"/>
        <w:jc w:val="both"/>
      </w:pPr>
      <w:r>
        <w:t xml:space="preserve">Allied Production Workers Union, Local 47 has been the certified exclusive bargaining representative of the Respondent’s production and maintenance employees since 2019, following a Board-conducted election in Case LRB-RC-2019-0088. The parties are signatories to a collective bargaining agreement (“CBA”) effective January 1, 2024 through December 31, 2026. The CBA contains, among other provisions, a grievance-and-arbitration procedure, a just-cause discipline standard, and a management-rights clause.</w:t>
      </w:r>
    </w:p>
    <w:p>
      <w:pPr>
        <w:spacing w:after="160" w:line="276"/>
        <w:jc w:val="both"/>
      </w:pPr>
      <w:r>
        <w:t xml:space="preserve">The principal management officials relevant to this investigation are:</w:t>
      </w:r>
    </w:p>
    <w:p>
      <w:pPr>
        <w:pStyle w:val="ListParagraph"/>
        <w:numPr>
          <w:ilvl w:val="0"/>
          <w:numId w:val="2"/>
        </w:numPr>
        <w:spacing w:after="80"/>
      </w:pPr>
      <w:r>
        <w:t xml:space="preserve">Richard Delacroix — Vice President of Operations (senior management official with ultimate authority over plant operations).</w:t>
      </w:r>
    </w:p>
    <w:p>
      <w:pPr>
        <w:pStyle w:val="ListParagraph"/>
        <w:numPr>
          <w:ilvl w:val="0"/>
          <w:numId w:val="2"/>
        </w:numPr>
        <w:spacing w:after="80"/>
      </w:pPr>
      <w:r>
        <w:t xml:space="preserve">Harold Greenbaum — Plant Manager (responsible for day-to-day plant operations and the final decision-maker on the Santos discharge).</w:t>
      </w:r>
    </w:p>
    <w:p>
      <w:pPr>
        <w:pStyle w:val="ListParagraph"/>
        <w:numPr>
          <w:ilvl w:val="0"/>
          <w:numId w:val="2"/>
        </w:numPr>
        <w:spacing w:after="80"/>
      </w:pPr>
      <w:r>
        <w:t xml:space="preserve">Patricia Chen — Director of Human Resources (responsible for the revised attendance policy and for processing the Santos discipline).</w:t>
      </w:r>
    </w:p>
    <w:p>
      <w:pPr>
        <w:pStyle w:val="ListParagraph"/>
        <w:numPr>
          <w:ilvl w:val="0"/>
          <w:numId w:val="2"/>
        </w:numPr>
        <w:spacing w:after="80"/>
      </w:pPr>
      <w:r>
        <w:t xml:space="preserve">Tom Waverly — First-line Supervisor, Stamping Department B (the supervisor alleged to have engaged in interrogation and solicitation of surveillance).</w:t>
      </w:r>
    </w:p>
    <w:p>
      <w:pPr>
        <w:spacing w:after="160" w:line="276"/>
        <w:jc w:val="both"/>
      </w:pPr>
      <w:r>
        <w:t xml:space="preserve">On the Union side, the principal officials are the Local 47 President and the elected shop stewards. Maria Santos served as chief shop steward from 2022 until her termination on March 10, 2025, and was the Union’s most active grievance filer during the relevant period.</w:t>
      </w:r>
    </w:p>
    <w:p>
      <w:pPr>
        <w:pStyle w:val="Heading1"/>
      </w:pPr>
      <w:r>
        <w:t xml:space="preserve">3.  Chronological Summary of Events</w:t>
      </w:r>
    </w:p>
    <w:p>
      <w:pPr>
        <w:spacing w:after="160" w:line="276"/>
        <w:jc w:val="both"/>
      </w:pPr>
      <w:r>
        <w:t xml:space="preserve">The following timeline summarizes the key events giving rise to the charge. Dates and descriptions are drawn from witness interviews and documentary evidence reviewed during the investigation.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18"/>
                <w:szCs w:val="18"/>
              </w:rPr>
              <w:t xml:space="preserve">Date</w:t>
            </w:r>
          </w:p>
        </w:tc>
        <w:tc>
          <w:tcPr>
            <w:tcW w:type="dxa" w:w="76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18"/>
                <w:szCs w:val="18"/>
              </w:rPr>
              <w:t xml:space="preserve">Event</w:t>
            </w:r>
          </w:p>
        </w:tc>
      </w:tr>
      <w:tr>
        <w:tc>
          <w:tcPr>
            <w:tcW w:type="dxa" w:w="1700"/>
            <w:tcBorders>
              <w:top w:val="single" w:color="BBBBBB" w:sz="1"/>
              <w:left w:val="single" w:color="BBBBBB" w:sz="1"/>
              <w:bottom w:val="single" w:color="BBBBBB" w:sz="1"/>
              <w:right w:val="single" w:color="BBBBBB" w:sz="1"/>
            </w:tcBorders>
            <w:shd w:fill="EEF1F8" w:val="clear"/>
            <w:tcMar>
              <w:top w:type="dxa" w:w="80"/>
              <w:left w:type="dxa" w:w="120"/>
              <w:bottom w:type="dxa" w:w="80"/>
              <w:right w:type="dxa" w:w="120"/>
            </w:tcMar>
          </w:tcPr>
          <w:p>
            <w:r>
              <w:rPr>
                <w:b/>
                <w:bCs/>
                <w:sz w:val="18"/>
                <w:szCs w:val="18"/>
              </w:rPr>
              <w:t xml:space="preserve">Jan. 8, 2025</w:t>
            </w:r>
          </w:p>
        </w:tc>
        <w:tc>
          <w:tcPr>
            <w:tcW w:type="dxa" w:w="7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Respondent implements a revised attendance/no-fault point policy plant-wide, effective immediately, without prior notice to or bargaining with the Union.</w:t>
            </w:r>
          </w:p>
        </w:tc>
      </w:tr>
      <w:tr>
        <w:tc>
          <w:tcPr>
            <w:tcW w:type="dxa" w:w="1700"/>
            <w:tcBorders>
              <w:top w:val="single" w:color="BBBBBB" w:sz="1"/>
              <w:left w:val="single" w:color="BBBBBB" w:sz="1"/>
              <w:bottom w:val="single" w:color="BBBBBB" w:sz="1"/>
              <w:right w:val="single" w:color="BBBBBB" w:sz="1"/>
            </w:tcBorders>
            <w:shd w:fill="EEF1F8" w:val="clear"/>
            <w:tcMar>
              <w:top w:type="dxa" w:w="80"/>
              <w:left w:type="dxa" w:w="120"/>
              <w:bottom w:type="dxa" w:w="80"/>
              <w:right w:type="dxa" w:w="120"/>
            </w:tcMar>
          </w:tcPr>
          <w:p>
            <w:r>
              <w:rPr>
                <w:b/>
                <w:bCs/>
                <w:sz w:val="18"/>
                <w:szCs w:val="18"/>
              </w:rPr>
              <w:t xml:space="preserve">Jan. 15, 2025</w:t>
            </w:r>
          </w:p>
        </w:tc>
        <w:tc>
          <w:tcPr>
            <w:tcW w:type="dxa" w:w="7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APWU Local 47 serves a written information request seeking the new policy, the rationale for the change, and comparative disciplinary data.</w:t>
            </w:r>
          </w:p>
        </w:tc>
      </w:tr>
      <w:tr>
        <w:tc>
          <w:tcPr>
            <w:tcW w:type="dxa" w:w="1700"/>
            <w:tcBorders>
              <w:top w:val="single" w:color="BBBBBB" w:sz="1"/>
              <w:left w:val="single" w:color="BBBBBB" w:sz="1"/>
              <w:bottom w:val="single" w:color="BBBBBB" w:sz="1"/>
              <w:right w:val="single" w:color="BBBBBB" w:sz="1"/>
            </w:tcBorders>
            <w:shd w:fill="EEF1F8" w:val="clear"/>
            <w:tcMar>
              <w:top w:type="dxa" w:w="80"/>
              <w:left w:type="dxa" w:w="120"/>
              <w:bottom w:type="dxa" w:w="80"/>
              <w:right w:type="dxa" w:w="120"/>
            </w:tcMar>
          </w:tcPr>
          <w:p>
            <w:r>
              <w:rPr>
                <w:b/>
                <w:bCs/>
                <w:sz w:val="18"/>
                <w:szCs w:val="18"/>
              </w:rPr>
              <w:t xml:space="preserve">Jan. 22, 2025</w:t>
            </w:r>
          </w:p>
        </w:tc>
        <w:tc>
          <w:tcPr>
            <w:tcW w:type="dxa" w:w="7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Union files a grievance challenging the unilateral implementation of the revised attendance policy.</w:t>
            </w:r>
          </w:p>
        </w:tc>
      </w:tr>
      <w:tr>
        <w:tc>
          <w:tcPr>
            <w:tcW w:type="dxa" w:w="1700"/>
            <w:tcBorders>
              <w:top w:val="single" w:color="BBBBBB" w:sz="1"/>
              <w:left w:val="single" w:color="BBBBBB" w:sz="1"/>
              <w:bottom w:val="single" w:color="BBBBBB" w:sz="1"/>
              <w:right w:val="single" w:color="BBBBBB" w:sz="1"/>
            </w:tcBorders>
            <w:shd w:fill="EEF1F8" w:val="clear"/>
            <w:tcMar>
              <w:top w:type="dxa" w:w="80"/>
              <w:left w:type="dxa" w:w="120"/>
              <w:bottom w:type="dxa" w:w="80"/>
              <w:right w:type="dxa" w:w="120"/>
            </w:tcMar>
          </w:tcPr>
          <w:p>
            <w:r>
              <w:rPr>
                <w:b/>
                <w:bCs/>
                <w:sz w:val="18"/>
                <w:szCs w:val="18"/>
              </w:rPr>
              <w:t xml:space="preserve">Jan. 27, 2025</w:t>
            </w:r>
          </w:p>
        </w:tc>
        <w:tc>
          <w:tcPr>
            <w:tcW w:type="dxa" w:w="7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Steward Maria Santos arrives 8 minutes late following a documented car accident; she is not counseled or warned at the time.</w:t>
            </w:r>
          </w:p>
        </w:tc>
      </w:tr>
      <w:tr>
        <w:tc>
          <w:tcPr>
            <w:tcW w:type="dxa" w:w="1700"/>
            <w:tcBorders>
              <w:top w:val="single" w:color="BBBBBB" w:sz="1"/>
              <w:left w:val="single" w:color="BBBBBB" w:sz="1"/>
              <w:bottom w:val="single" w:color="BBBBBB" w:sz="1"/>
              <w:right w:val="single" w:color="BBBBBB" w:sz="1"/>
            </w:tcBorders>
            <w:shd w:fill="EEF1F8" w:val="clear"/>
            <w:tcMar>
              <w:top w:type="dxa" w:w="80"/>
              <w:left w:type="dxa" w:w="120"/>
              <w:bottom w:type="dxa" w:w="80"/>
              <w:right w:type="dxa" w:w="120"/>
            </w:tcMar>
          </w:tcPr>
          <w:p>
            <w:r>
              <w:rPr>
                <w:b/>
                <w:bCs/>
                <w:sz w:val="18"/>
                <w:szCs w:val="18"/>
              </w:rPr>
              <w:t xml:space="preserve">Feb. 3, 2025</w:t>
            </w:r>
          </w:p>
        </w:tc>
        <w:tc>
          <w:tcPr>
            <w:tcW w:type="dxa" w:w="7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Supervisor Tom Waverly asks employee James Patel whether he “went to that union meeting last Tuesday” and remarks that “things are easier for guys who stay out of union business.”</w:t>
            </w:r>
          </w:p>
        </w:tc>
      </w:tr>
      <w:tr>
        <w:tc>
          <w:tcPr>
            <w:tcW w:type="dxa" w:w="1700"/>
            <w:tcBorders>
              <w:top w:val="single" w:color="BBBBBB" w:sz="1"/>
              <w:left w:val="single" w:color="BBBBBB" w:sz="1"/>
              <w:bottom w:val="single" w:color="BBBBBB" w:sz="1"/>
              <w:right w:val="single" w:color="BBBBBB" w:sz="1"/>
            </w:tcBorders>
            <w:shd w:fill="EEF1F8" w:val="clear"/>
            <w:tcMar>
              <w:top w:type="dxa" w:w="80"/>
              <w:left w:type="dxa" w:w="120"/>
              <w:bottom w:type="dxa" w:w="80"/>
              <w:right w:type="dxa" w:w="120"/>
            </w:tcMar>
          </w:tcPr>
          <w:p>
            <w:r>
              <w:rPr>
                <w:b/>
                <w:bCs/>
                <w:sz w:val="18"/>
                <w:szCs w:val="18"/>
              </w:rPr>
              <w:t xml:space="preserve">Feb. 12, 2025</w:t>
            </w:r>
          </w:p>
        </w:tc>
        <w:tc>
          <w:tcPr>
            <w:tcW w:type="dxa" w:w="7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HR Director Patricia Chen holds a mandatory department meeting and states that “companies that fight with unions sometimes have to make hard choices about staying open.”</w:t>
            </w:r>
          </w:p>
        </w:tc>
      </w:tr>
      <w:tr>
        <w:tc>
          <w:tcPr>
            <w:tcW w:type="dxa" w:w="1700"/>
            <w:tcBorders>
              <w:top w:val="single" w:color="BBBBBB" w:sz="1"/>
              <w:left w:val="single" w:color="BBBBBB" w:sz="1"/>
              <w:bottom w:val="single" w:color="BBBBBB" w:sz="1"/>
              <w:right w:val="single" w:color="BBBBBB" w:sz="1"/>
            </w:tcBorders>
            <w:shd w:fill="EEF1F8" w:val="clear"/>
            <w:tcMar>
              <w:top w:type="dxa" w:w="80"/>
              <w:left w:type="dxa" w:w="120"/>
              <w:bottom w:type="dxa" w:w="80"/>
              <w:right w:type="dxa" w:w="120"/>
            </w:tcMar>
          </w:tcPr>
          <w:p>
            <w:r>
              <w:rPr>
                <w:b/>
                <w:bCs/>
                <w:sz w:val="18"/>
                <w:szCs w:val="18"/>
              </w:rPr>
              <w:t xml:space="preserve">Feb. 18, 2025</w:t>
            </w:r>
          </w:p>
        </w:tc>
        <w:tc>
          <w:tcPr>
            <w:tcW w:type="dxa" w:w="7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Employee Sandra Kim reports to Steward Santos that Waverly asked her to “keep him in the loop” about what is discussed at union meetings.</w:t>
            </w:r>
          </w:p>
        </w:tc>
      </w:tr>
      <w:tr>
        <w:tc>
          <w:tcPr>
            <w:tcW w:type="dxa" w:w="1700"/>
            <w:tcBorders>
              <w:top w:val="single" w:color="BBBBBB" w:sz="1"/>
              <w:left w:val="single" w:color="BBBBBB" w:sz="1"/>
              <w:bottom w:val="single" w:color="BBBBBB" w:sz="1"/>
              <w:right w:val="single" w:color="BBBBBB" w:sz="1"/>
            </w:tcBorders>
            <w:shd w:fill="EEF1F8" w:val="clear"/>
            <w:tcMar>
              <w:top w:type="dxa" w:w="80"/>
              <w:left w:type="dxa" w:w="120"/>
              <w:bottom w:type="dxa" w:w="80"/>
              <w:right w:type="dxa" w:w="120"/>
            </w:tcMar>
          </w:tcPr>
          <w:p>
            <w:r>
              <w:rPr>
                <w:b/>
                <w:bCs/>
                <w:sz w:val="18"/>
                <w:szCs w:val="18"/>
              </w:rPr>
              <w:t xml:space="preserve">Feb. 24, 2025</w:t>
            </w:r>
          </w:p>
        </w:tc>
        <w:tc>
          <w:tcPr>
            <w:tcW w:type="dxa" w:w="7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Union submits a written demand to bargain over safety protocols in Stamping Dept. B following two injuries in the department.</w:t>
            </w:r>
          </w:p>
        </w:tc>
      </w:tr>
      <w:tr>
        <w:tc>
          <w:tcPr>
            <w:tcW w:type="dxa" w:w="1700"/>
            <w:tcBorders>
              <w:top w:val="single" w:color="BBBBBB" w:sz="1"/>
              <w:left w:val="single" w:color="BBBBBB" w:sz="1"/>
              <w:bottom w:val="single" w:color="BBBBBB" w:sz="1"/>
              <w:right w:val="single" w:color="BBBBBB" w:sz="1"/>
            </w:tcBorders>
            <w:shd w:fill="EEF1F8" w:val="clear"/>
            <w:tcMar>
              <w:top w:type="dxa" w:w="80"/>
              <w:left w:type="dxa" w:w="120"/>
              <w:bottom w:type="dxa" w:w="80"/>
              <w:right w:type="dxa" w:w="120"/>
            </w:tcMar>
          </w:tcPr>
          <w:p>
            <w:r>
              <w:rPr>
                <w:b/>
                <w:bCs/>
                <w:sz w:val="18"/>
                <w:szCs w:val="18"/>
              </w:rPr>
              <w:t xml:space="preserve">Mar. 3, 2025</w:t>
            </w:r>
          </w:p>
        </w:tc>
        <w:tc>
          <w:tcPr>
            <w:tcW w:type="dxa" w:w="7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Respondent denies any bargaining obligation, asserting that safety protocols are a reserved management right.</w:t>
            </w:r>
          </w:p>
        </w:tc>
      </w:tr>
      <w:tr>
        <w:tc>
          <w:tcPr>
            <w:tcW w:type="dxa" w:w="1700"/>
            <w:tcBorders>
              <w:top w:val="single" w:color="BBBBBB" w:sz="1"/>
              <w:left w:val="single" w:color="BBBBBB" w:sz="1"/>
              <w:bottom w:val="single" w:color="BBBBBB" w:sz="1"/>
              <w:right w:val="single" w:color="BBBBBB" w:sz="1"/>
            </w:tcBorders>
            <w:shd w:fill="EEF1F8" w:val="clear"/>
            <w:tcMar>
              <w:top w:type="dxa" w:w="80"/>
              <w:left w:type="dxa" w:w="120"/>
              <w:bottom w:type="dxa" w:w="80"/>
              <w:right w:type="dxa" w:w="120"/>
            </w:tcMar>
          </w:tcPr>
          <w:p>
            <w:r>
              <w:rPr>
                <w:b/>
                <w:bCs/>
                <w:sz w:val="18"/>
                <w:szCs w:val="18"/>
              </w:rPr>
              <w:t xml:space="preserve">Mar. 5, 2025</w:t>
            </w:r>
          </w:p>
        </w:tc>
        <w:tc>
          <w:tcPr>
            <w:tcW w:type="dxa" w:w="7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Plant Manager Greenbaum emails HR Director Chen: “Let’s move forward with Santos per our discussion.”</w:t>
            </w:r>
          </w:p>
        </w:tc>
      </w:tr>
      <w:tr>
        <w:tc>
          <w:tcPr>
            <w:tcW w:type="dxa" w:w="1700"/>
            <w:tcBorders>
              <w:top w:val="single" w:color="BBBBBB" w:sz="1"/>
              <w:left w:val="single" w:color="BBBBBB" w:sz="1"/>
              <w:bottom w:val="single" w:color="BBBBBB" w:sz="1"/>
              <w:right w:val="single" w:color="BBBBBB" w:sz="1"/>
            </w:tcBorders>
            <w:shd w:fill="EEF1F8" w:val="clear"/>
            <w:tcMar>
              <w:top w:type="dxa" w:w="80"/>
              <w:left w:type="dxa" w:w="120"/>
              <w:bottom w:type="dxa" w:w="80"/>
              <w:right w:type="dxa" w:w="120"/>
            </w:tcMar>
          </w:tcPr>
          <w:p>
            <w:r>
              <w:rPr>
                <w:b/>
                <w:bCs/>
                <w:sz w:val="18"/>
                <w:szCs w:val="18"/>
              </w:rPr>
              <w:t xml:space="preserve">Mar. 7, 2025</w:t>
            </w:r>
          </w:p>
        </w:tc>
        <w:tc>
          <w:tcPr>
            <w:tcW w:type="dxa" w:w="7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Santos receives her first-ever written warning, citing alleged attendance violations under the new no-fault policy.</w:t>
            </w:r>
          </w:p>
        </w:tc>
      </w:tr>
      <w:tr>
        <w:tc>
          <w:tcPr>
            <w:tcW w:type="dxa" w:w="1700"/>
            <w:tcBorders>
              <w:top w:val="single" w:color="BBBBBB" w:sz="1"/>
              <w:left w:val="single" w:color="BBBBBB" w:sz="1"/>
              <w:bottom w:val="single" w:color="BBBBBB" w:sz="1"/>
              <w:right w:val="single" w:color="BBBBBB" w:sz="1"/>
            </w:tcBorders>
            <w:shd w:fill="EEF1F8" w:val="clear"/>
            <w:tcMar>
              <w:top w:type="dxa" w:w="80"/>
              <w:left w:type="dxa" w:w="120"/>
              <w:bottom w:type="dxa" w:w="80"/>
              <w:right w:type="dxa" w:w="120"/>
            </w:tcMar>
          </w:tcPr>
          <w:p>
            <w:r>
              <w:rPr>
                <w:b/>
                <w:bCs/>
                <w:sz w:val="18"/>
                <w:szCs w:val="18"/>
              </w:rPr>
              <w:t xml:space="preserve">Mar. 10, 2025</w:t>
            </w:r>
          </w:p>
        </w:tc>
        <w:tc>
          <w:tcPr>
            <w:tcW w:type="dxa" w:w="7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Respondent terminates Santos for “repeated attendance violations.”</w:t>
            </w:r>
          </w:p>
        </w:tc>
      </w:tr>
      <w:tr>
        <w:tc>
          <w:tcPr>
            <w:tcW w:type="dxa" w:w="1700"/>
            <w:tcBorders>
              <w:top w:val="single" w:color="BBBBBB" w:sz="1"/>
              <w:left w:val="single" w:color="BBBBBB" w:sz="1"/>
              <w:bottom w:val="single" w:color="BBBBBB" w:sz="1"/>
              <w:right w:val="single" w:color="BBBBBB" w:sz="1"/>
            </w:tcBorders>
            <w:shd w:fill="EEF1F8" w:val="clear"/>
            <w:tcMar>
              <w:top w:type="dxa" w:w="80"/>
              <w:left w:type="dxa" w:w="120"/>
              <w:bottom w:type="dxa" w:w="80"/>
              <w:right w:type="dxa" w:w="120"/>
            </w:tcMar>
          </w:tcPr>
          <w:p>
            <w:r>
              <w:rPr>
                <w:b/>
                <w:bCs/>
                <w:sz w:val="18"/>
                <w:szCs w:val="18"/>
              </w:rPr>
              <w:t xml:space="preserve">Mar. 14, 2025</w:t>
            </w:r>
          </w:p>
        </w:tc>
        <w:tc>
          <w:tcPr>
            <w:tcW w:type="dxa" w:w="76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APWU Local 47 files the instant unfair labor practice charge with the Regional Office.</w:t>
            </w:r>
          </w:p>
        </w:tc>
      </w:tr>
    </w:tbl>
    <w:p>
      <w:pPr>
        <w:spacing w:before="160"/>
      </w:pPr>
      <w:r>
        <w:rPr>
          <w:i/>
          <w:iCs/>
        </w:rPr>
        <w:t xml:space="preserve">The compression of these events — in particular the proximity between the Union’s grievance and information-request activity in January–February and Santos’s sudden discipline and discharge in March — is central to the Section 8(a)(3) analysis set forth in Section 6 below.</w:t>
      </w:r>
    </w:p>
    <w:p>
      <w:pPr>
        <w:pStyle w:val="Heading1"/>
      </w:pPr>
      <w:r>
        <w:t xml:space="preserve">4.  Witness Statements</w:t>
      </w:r>
    </w:p>
    <w:p>
      <w:pPr>
        <w:spacing w:after="160" w:line="276"/>
        <w:jc w:val="both"/>
      </w:pPr>
      <w:r>
        <w:t xml:space="preserve">The Region interviewed six witnesses, comprising two bargaining-unit employees, the discharged steward, and three management officials. Interview summaries follow. Each witness was advised of the purpose of the interview and that participation was voluntary.</w:t>
      </w:r>
    </w:p>
    <w:p>
      <w:pPr>
        <w:pStyle w:val="Heading2"/>
      </w:pPr>
      <w:r>
        <w:t xml:space="preserve">4.1  James Patel — Production Worker, Stamping Dept. B (interviewed April 2, 2025)</w:t>
      </w:r>
    </w:p>
    <w:p>
      <w:pPr>
        <w:spacing w:after="160" w:line="276"/>
        <w:jc w:val="both"/>
      </w:pPr>
      <w:r>
        <w:t xml:space="preserve">James Patel is a 7-year employee and a member of APWU Local 47 with no prior disciplinary history. Patel stated that on February 3, 2025, Supervisor Tom Waverly approached him at his work station and asked whether he “went to that union meeting last Tuesday.” Patel stated that the question caught him off guard and that no other employees were present. He further recalled that Waverly added, “things are easier for guys who stay out of union business.” Patel understood this remark as a signal that his standing with the Employer could be affected by his union involvement. Patel reported that he had attended the union meeting in question, at which the new attendance policy and pending grievances were discussed, but that he did not answer Waverly directly.</w:t>
      </w:r>
    </w:p>
    <w:p>
      <w:pPr>
        <w:spacing w:after="160" w:line="276"/>
        <w:jc w:val="both"/>
      </w:pPr>
      <w:r>
        <w:t xml:space="preserve">Patel’s account was consistent throughout the interview and he expressed reluctance, rather than eagerness, to be involved — a factor relevant to credibility. He stated he had no personal dispute with Waverly.</w:t>
      </w:r>
    </w:p>
    <w:p>
      <w:pPr>
        <w:pStyle w:val="Heading2"/>
      </w:pPr>
      <w:r>
        <w:t xml:space="preserve">4.2  Sandra Kim — Production Worker, Dept. A (interviewed April 2, 2025)</w:t>
      </w:r>
    </w:p>
    <w:p>
      <w:pPr>
        <w:spacing w:after="160" w:line="276"/>
        <w:jc w:val="both"/>
      </w:pPr>
      <w:r>
        <w:t xml:space="preserve">Sandra Kim is a 4-year employee and union member. Kim stated that in mid-February 2025, Supervisor Waverly approached her and asked her to “keep him in the loop” about what was discussed at union meetings. Kim stated that she felt uncomfortable, understood the request as a direction to spy on her coworkers’ protected activity, and reported the incident to Steward Maria Santos on or about February 18, 2025 — a contemporaneous report that corroborates the timeline.</w:t>
      </w:r>
    </w:p>
    <w:p>
      <w:pPr>
        <w:spacing w:after="160" w:line="276"/>
        <w:jc w:val="both"/>
      </w:pPr>
      <w:r>
        <w:t xml:space="preserve">Kim also attended the mandatory departmental meeting on February 12, 2025, conducted by HR Director Patricia Chen. Kim recalled that Chen stated that “companies that fight with unions sometimes have to make hard choices about staying open.” Kim understood this as a veiled threat that continued union activity — specifically the grievances then pending — could lead to the plant closing. Kim’s account of the meeting was consistent with that of other attendees.</w:t>
      </w:r>
    </w:p>
    <w:p>
      <w:pPr>
        <w:pStyle w:val="Heading2"/>
      </w:pPr>
      <w:r>
        <w:t xml:space="preserve">4.3  Maria Santos — Discharged Chief Steward (interviewed April 5, 2025)</w:t>
      </w:r>
    </w:p>
    <w:p>
      <w:pPr>
        <w:spacing w:after="160" w:line="276"/>
        <w:jc w:val="both"/>
      </w:pPr>
      <w:r>
        <w:t xml:space="preserve">Maria Santos is a 12-year employee who served as elected chief shop steward from 2022 until her discharge on March 10, 2025. Santos stated that prior to the March 7, 2025 written warning, she had a completely clean disciplinary record over her entire 12-year tenure. She explained that on January 27, 2025, she arrived approximately 8 minutes late as a result of a documented automobile accident, and that no supervisor counseled, warned, or disciplined her at that time. She first learned the tardiness had been recorded as a “point” under the new policy when she received the March 7 warning.</w:t>
      </w:r>
    </w:p>
    <w:p>
      <w:pPr>
        <w:spacing w:after="160" w:line="276"/>
        <w:jc w:val="both"/>
      </w:pPr>
      <w:r>
        <w:t xml:space="preserve">Santos emphasized that during February 2025 alone she filed four grievances on behalf of bargaining-unit members, including the grievance over the unilateral attendance-policy change, and that she was the Union’s most visible advocate during the relevant period. She stated her firm belief that her discharge was a direct response to her union advocacy rather than a genuine attendance concern, and noted that other employees with comparable or worse attendance were not disciplined.</w:t>
      </w:r>
    </w:p>
    <w:p>
      <w:pPr>
        <w:pStyle w:val="Heading2"/>
      </w:pPr>
      <w:r>
        <w:t xml:space="preserve">4.4  Harold Greenbaum — Plant Manager (interviewed April 10, 2025)</w:t>
      </w:r>
    </w:p>
    <w:p>
      <w:pPr>
        <w:spacing w:after="160" w:line="276"/>
        <w:jc w:val="both"/>
      </w:pPr>
      <w:r>
        <w:t xml:space="preserve">Plant Manager Harold Greenbaum stated that Santos was terminated solely for attendance violations, identifying three incidents between January and February 2025. Greenbaum characterized the revised attendance policy as a “standard HR update” that, in his view, was not subject to bargaining. He denied any knowledge of Supervisor Waverly’s alleged questioning of employees about union meetings.</w:t>
      </w:r>
    </w:p>
    <w:p>
      <w:pPr>
        <w:spacing w:after="160" w:line="276"/>
        <w:jc w:val="both"/>
      </w:pPr>
      <w:r>
        <w:t xml:space="preserve">Notably, when asked to produce contemporaneous documentation showing that Santos had been counseled at the time of the alleged incidents, Greenbaum was unable to do so. He also could not explain the discrepancy between the stated rationale for the discharge and his March 5, 2025 email to HR Director Chen (“Let’s move forward with Santos per our discussion”), which predates the formal completion of any attendance review.</w:t>
      </w:r>
    </w:p>
    <w:p>
      <w:pPr>
        <w:pStyle w:val="Heading2"/>
      </w:pPr>
      <w:r>
        <w:t xml:space="preserve">4.5  Tom Waverly — Supervisor, Stamping Dept. B (interviewed April 10, 2025)</w:t>
      </w:r>
    </w:p>
    <w:p>
      <w:pPr>
        <w:spacing w:after="160" w:line="276"/>
        <w:jc w:val="both"/>
      </w:pPr>
      <w:r>
        <w:t xml:space="preserve">Supervisor Tom Waverly acknowledged asking James Patel whether he had attended a union meeting, but characterized the exchange as “casual conversation.” Waverly denied ever asking any employee to spy on or report about union activities, directly contradicting Kim’s account. He stated that Santos’s termination was “a purely HR decision” in which he played no part.</w:t>
      </w:r>
    </w:p>
    <w:p>
      <w:pPr>
        <w:spacing w:after="160" w:line="276"/>
        <w:jc w:val="both"/>
      </w:pPr>
      <w:r>
        <w:t xml:space="preserve">Waverly’s admission that he questioned Patel about union-meeting attendance is significant: it independently establishes the factual predicate for the interrogation allegation regardless of how Waverly characterizes his subjective intent.</w:t>
      </w:r>
    </w:p>
    <w:p>
      <w:pPr>
        <w:pStyle w:val="Heading2"/>
      </w:pPr>
      <w:r>
        <w:t xml:space="preserve">4.6  Patricia Chen — HR Director (interviewed April 12, 2025)</w:t>
      </w:r>
    </w:p>
    <w:p>
      <w:pPr>
        <w:spacing w:after="160" w:line="276"/>
        <w:jc w:val="both"/>
      </w:pPr>
      <w:r>
        <w:t xml:space="preserve">HR Director Patricia Chen acknowledged implementing the revised attendance policy effective January 8, 2025, and stated that the policy was applied uniformly across all departments. She acknowledged making statements at the February 12 meeting but characterized them as “general business concerns” rather than threats. When asked to produce records identifying other employees terminated under the new policy during the same period, Chen was unable to do so, and could not identify any comparably-situated employee outside the Union’s active stewards who had been discharged for attendance during the relevant timeframe.</w:t>
      </w:r>
    </w:p>
    <w:p>
      <w:pPr>
        <w:pStyle w:val="Heading1"/>
      </w:pPr>
      <w:r>
        <w:t xml:space="preserve">5.  Documentary Evidence</w:t>
      </w:r>
    </w:p>
    <w:p>
      <w:pPr>
        <w:spacing w:after="160" w:line="276"/>
        <w:jc w:val="both"/>
      </w:pPr>
      <w:r>
        <w:t xml:space="preserve">The following documents were obtained and reviewed during the investigation. Citations to this evidence appear throughout the legal analysis in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18"/>
                <w:szCs w:val="18"/>
              </w:rPr>
              <w:t xml:space="preserve">Exhibit</w:t>
            </w:r>
          </w:p>
        </w:tc>
        <w:tc>
          <w:tcPr>
            <w:tcW w:type="dxa" w:w="82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tcPr>
          <w:p>
            <w:r>
              <w:rPr>
                <w:b/>
                <w:bCs/>
                <w:color w:val="FFFFFF"/>
                <w:sz w:val="18"/>
                <w:szCs w:val="18"/>
              </w:rPr>
              <w:t xml:space="preserve">Description</w:t>
            </w:r>
          </w:p>
        </w:tc>
      </w:tr>
      <w:tr>
        <w:tc>
          <w:tcPr>
            <w:tcW w:type="dxa" w:w="1100"/>
            <w:tcBorders>
              <w:top w:val="single" w:color="BBBBBB" w:sz="1"/>
              <w:left w:val="single" w:color="BBBBBB" w:sz="1"/>
              <w:bottom w:val="single" w:color="BBBBBB" w:sz="1"/>
              <w:right w:val="single" w:color="BBBBBB" w:sz="1"/>
            </w:tcBorders>
            <w:shd w:fill="EEF1F8" w:val="clear"/>
            <w:tcMar>
              <w:top w:type="dxa" w:w="80"/>
              <w:left w:type="dxa" w:w="120"/>
              <w:bottom w:type="dxa" w:w="80"/>
              <w:right w:type="dxa" w:w="120"/>
            </w:tcMar>
          </w:tcPr>
          <w:p>
            <w:r>
              <w:rPr>
                <w:b/>
                <w:bCs/>
                <w:sz w:val="18"/>
                <w:szCs w:val="18"/>
              </w:rPr>
              <w:t xml:space="preserve">Ex. 1</w:t>
            </w:r>
          </w:p>
        </w:tc>
        <w:tc>
          <w:tcPr>
            <w:tcW w:type="dxa" w:w="8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Union Certification (Case LRB-RC-2019-0088), establishing the Union as exclusive representative since 2019.</w:t>
            </w:r>
          </w:p>
        </w:tc>
      </w:tr>
      <w:tr>
        <w:tc>
          <w:tcPr>
            <w:tcW w:type="dxa" w:w="1100"/>
            <w:tcBorders>
              <w:top w:val="single" w:color="BBBBBB" w:sz="1"/>
              <w:left w:val="single" w:color="BBBBBB" w:sz="1"/>
              <w:bottom w:val="single" w:color="BBBBBB" w:sz="1"/>
              <w:right w:val="single" w:color="BBBBBB" w:sz="1"/>
            </w:tcBorders>
            <w:shd w:fill="EEF1F8" w:val="clear"/>
            <w:tcMar>
              <w:top w:type="dxa" w:w="80"/>
              <w:left w:type="dxa" w:w="120"/>
              <w:bottom w:type="dxa" w:w="80"/>
              <w:right w:type="dxa" w:w="120"/>
            </w:tcMar>
          </w:tcPr>
          <w:p>
            <w:r>
              <w:rPr>
                <w:b/>
                <w:bCs/>
                <w:sz w:val="18"/>
                <w:szCs w:val="18"/>
              </w:rPr>
              <w:t xml:space="preserve">Ex. 2</w:t>
            </w:r>
          </w:p>
        </w:tc>
        <w:tc>
          <w:tcPr>
            <w:tcW w:type="dxa" w:w="8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Collective Bargaining Agreement, effective Jan. 1, 2024 – Dec. 31, 2026, including grievance, just-cause, and management-rights provisions.</w:t>
            </w:r>
          </w:p>
        </w:tc>
      </w:tr>
      <w:tr>
        <w:tc>
          <w:tcPr>
            <w:tcW w:type="dxa" w:w="1100"/>
            <w:tcBorders>
              <w:top w:val="single" w:color="BBBBBB" w:sz="1"/>
              <w:left w:val="single" w:color="BBBBBB" w:sz="1"/>
              <w:bottom w:val="single" w:color="BBBBBB" w:sz="1"/>
              <w:right w:val="single" w:color="BBBBBB" w:sz="1"/>
            </w:tcBorders>
            <w:shd w:fill="EEF1F8" w:val="clear"/>
            <w:tcMar>
              <w:top w:type="dxa" w:w="80"/>
              <w:left w:type="dxa" w:w="120"/>
              <w:bottom w:type="dxa" w:w="80"/>
              <w:right w:type="dxa" w:w="120"/>
            </w:tcMar>
          </w:tcPr>
          <w:p>
            <w:r>
              <w:rPr>
                <w:b/>
                <w:bCs/>
                <w:sz w:val="18"/>
                <w:szCs w:val="18"/>
              </w:rPr>
              <w:t xml:space="preserve">Ex. 3</w:t>
            </w:r>
          </w:p>
        </w:tc>
        <w:tc>
          <w:tcPr>
            <w:tcW w:type="dxa" w:w="8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Prior Attendance Policy (pre-January 2025), reflecting a progressive-discipline framework with documented counseling steps.</w:t>
            </w:r>
          </w:p>
        </w:tc>
      </w:tr>
      <w:tr>
        <w:tc>
          <w:tcPr>
            <w:tcW w:type="dxa" w:w="1100"/>
            <w:tcBorders>
              <w:top w:val="single" w:color="BBBBBB" w:sz="1"/>
              <w:left w:val="single" w:color="BBBBBB" w:sz="1"/>
              <w:bottom w:val="single" w:color="BBBBBB" w:sz="1"/>
              <w:right w:val="single" w:color="BBBBBB" w:sz="1"/>
            </w:tcBorders>
            <w:shd w:fill="EEF1F8" w:val="clear"/>
            <w:tcMar>
              <w:top w:type="dxa" w:w="80"/>
              <w:left w:type="dxa" w:w="120"/>
              <w:bottom w:type="dxa" w:w="80"/>
              <w:right w:type="dxa" w:w="120"/>
            </w:tcMar>
          </w:tcPr>
          <w:p>
            <w:r>
              <w:rPr>
                <w:b/>
                <w:bCs/>
                <w:sz w:val="18"/>
                <w:szCs w:val="18"/>
              </w:rPr>
              <w:t xml:space="preserve">Ex. 4</w:t>
            </w:r>
          </w:p>
        </w:tc>
        <w:tc>
          <w:tcPr>
            <w:tcW w:type="dxa" w:w="8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Revised Attendance Policy, effective January 8, 2025, implementing a no-fault point system with reduced notice and counseling steps.</w:t>
            </w:r>
          </w:p>
        </w:tc>
      </w:tr>
      <w:tr>
        <w:tc>
          <w:tcPr>
            <w:tcW w:type="dxa" w:w="1100"/>
            <w:tcBorders>
              <w:top w:val="single" w:color="BBBBBB" w:sz="1"/>
              <w:left w:val="single" w:color="BBBBBB" w:sz="1"/>
              <w:bottom w:val="single" w:color="BBBBBB" w:sz="1"/>
              <w:right w:val="single" w:color="BBBBBB" w:sz="1"/>
            </w:tcBorders>
            <w:shd w:fill="EEF1F8" w:val="clear"/>
            <w:tcMar>
              <w:top w:type="dxa" w:w="80"/>
              <w:left w:type="dxa" w:w="120"/>
              <w:bottom w:type="dxa" w:w="80"/>
              <w:right w:type="dxa" w:w="120"/>
            </w:tcMar>
          </w:tcPr>
          <w:p>
            <w:r>
              <w:rPr>
                <w:b/>
                <w:bCs/>
                <w:sz w:val="18"/>
                <w:szCs w:val="18"/>
              </w:rPr>
              <w:t xml:space="preserve">Ex. 5</w:t>
            </w:r>
          </w:p>
        </w:tc>
        <w:tc>
          <w:tcPr>
            <w:tcW w:type="dxa" w:w="8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Union Information Request Letter, dated January 15, 2025.</w:t>
            </w:r>
          </w:p>
        </w:tc>
      </w:tr>
      <w:tr>
        <w:tc>
          <w:tcPr>
            <w:tcW w:type="dxa" w:w="1100"/>
            <w:tcBorders>
              <w:top w:val="single" w:color="BBBBBB" w:sz="1"/>
              <w:left w:val="single" w:color="BBBBBB" w:sz="1"/>
              <w:bottom w:val="single" w:color="BBBBBB" w:sz="1"/>
              <w:right w:val="single" w:color="BBBBBB" w:sz="1"/>
            </w:tcBorders>
            <w:shd w:fill="EEF1F8" w:val="clear"/>
            <w:tcMar>
              <w:top w:type="dxa" w:w="80"/>
              <w:left w:type="dxa" w:w="120"/>
              <w:bottom w:type="dxa" w:w="80"/>
              <w:right w:type="dxa" w:w="120"/>
            </w:tcMar>
          </w:tcPr>
          <w:p>
            <w:r>
              <w:rPr>
                <w:b/>
                <w:bCs/>
                <w:sz w:val="18"/>
                <w:szCs w:val="18"/>
              </w:rPr>
              <w:t xml:space="preserve">Ex. 6</w:t>
            </w:r>
          </w:p>
        </w:tc>
        <w:tc>
          <w:tcPr>
            <w:tcW w:type="dxa" w:w="8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Three grievance files (Jan.–Feb. 2025), including the attendance-policy grievance filed January 22, 2025.</w:t>
            </w:r>
          </w:p>
        </w:tc>
      </w:tr>
      <w:tr>
        <w:tc>
          <w:tcPr>
            <w:tcW w:type="dxa" w:w="1100"/>
            <w:tcBorders>
              <w:top w:val="single" w:color="BBBBBB" w:sz="1"/>
              <w:left w:val="single" w:color="BBBBBB" w:sz="1"/>
              <w:bottom w:val="single" w:color="BBBBBB" w:sz="1"/>
              <w:right w:val="single" w:color="BBBBBB" w:sz="1"/>
            </w:tcBorders>
            <w:shd w:fill="EEF1F8" w:val="clear"/>
            <w:tcMar>
              <w:top w:type="dxa" w:w="80"/>
              <w:left w:type="dxa" w:w="120"/>
              <w:bottom w:type="dxa" w:w="80"/>
              <w:right w:type="dxa" w:w="120"/>
            </w:tcMar>
          </w:tcPr>
          <w:p>
            <w:r>
              <w:rPr>
                <w:b/>
                <w:bCs/>
                <w:sz w:val="18"/>
                <w:szCs w:val="18"/>
              </w:rPr>
              <w:t xml:space="preserve">Ex. 7</w:t>
            </w:r>
          </w:p>
        </w:tc>
        <w:tc>
          <w:tcPr>
            <w:tcW w:type="dxa" w:w="8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Maria Santos’s complete personnel file, reflecting a clean disciplinary record prior to 2025.</w:t>
            </w:r>
          </w:p>
        </w:tc>
      </w:tr>
      <w:tr>
        <w:tc>
          <w:tcPr>
            <w:tcW w:type="dxa" w:w="1100"/>
            <w:tcBorders>
              <w:top w:val="single" w:color="BBBBBB" w:sz="1"/>
              <w:left w:val="single" w:color="BBBBBB" w:sz="1"/>
              <w:bottom w:val="single" w:color="BBBBBB" w:sz="1"/>
              <w:right w:val="single" w:color="BBBBBB" w:sz="1"/>
            </w:tcBorders>
            <w:shd w:fill="EEF1F8" w:val="clear"/>
            <w:tcMar>
              <w:top w:type="dxa" w:w="80"/>
              <w:left w:type="dxa" w:w="120"/>
              <w:bottom w:type="dxa" w:w="80"/>
              <w:right w:type="dxa" w:w="120"/>
            </w:tcMar>
          </w:tcPr>
          <w:p>
            <w:r>
              <w:rPr>
                <w:b/>
                <w:bCs/>
                <w:sz w:val="18"/>
                <w:szCs w:val="18"/>
              </w:rPr>
              <w:t xml:space="preserve">Ex. 8</w:t>
            </w:r>
          </w:p>
        </w:tc>
        <w:tc>
          <w:tcPr>
            <w:tcW w:type="dxa" w:w="8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Santos’s written warning, dated March 7, 2025.</w:t>
            </w:r>
          </w:p>
        </w:tc>
      </w:tr>
      <w:tr>
        <w:tc>
          <w:tcPr>
            <w:tcW w:type="dxa" w:w="1100"/>
            <w:tcBorders>
              <w:top w:val="single" w:color="BBBBBB" w:sz="1"/>
              <w:left w:val="single" w:color="BBBBBB" w:sz="1"/>
              <w:bottom w:val="single" w:color="BBBBBB" w:sz="1"/>
              <w:right w:val="single" w:color="BBBBBB" w:sz="1"/>
            </w:tcBorders>
            <w:shd w:fill="EEF1F8" w:val="clear"/>
            <w:tcMar>
              <w:top w:type="dxa" w:w="80"/>
              <w:left w:type="dxa" w:w="120"/>
              <w:bottom w:type="dxa" w:w="80"/>
              <w:right w:type="dxa" w:w="120"/>
            </w:tcMar>
          </w:tcPr>
          <w:p>
            <w:r>
              <w:rPr>
                <w:b/>
                <w:bCs/>
                <w:sz w:val="18"/>
                <w:szCs w:val="18"/>
              </w:rPr>
              <w:t xml:space="preserve">Ex. 9</w:t>
            </w:r>
          </w:p>
        </w:tc>
        <w:tc>
          <w:tcPr>
            <w:tcW w:type="dxa" w:w="8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Santos’s termination notice, dated March 10, 2025, citing “repeated attendance violations.”</w:t>
            </w:r>
          </w:p>
        </w:tc>
      </w:tr>
      <w:tr>
        <w:tc>
          <w:tcPr>
            <w:tcW w:type="dxa" w:w="1100"/>
            <w:tcBorders>
              <w:top w:val="single" w:color="BBBBBB" w:sz="1"/>
              <w:left w:val="single" w:color="BBBBBB" w:sz="1"/>
              <w:bottom w:val="single" w:color="BBBBBB" w:sz="1"/>
              <w:right w:val="single" w:color="BBBBBB" w:sz="1"/>
            </w:tcBorders>
            <w:shd w:fill="EEF1F8" w:val="clear"/>
            <w:tcMar>
              <w:top w:type="dxa" w:w="80"/>
              <w:left w:type="dxa" w:w="120"/>
              <w:bottom w:type="dxa" w:w="80"/>
              <w:right w:type="dxa" w:w="120"/>
            </w:tcMar>
          </w:tcPr>
          <w:p>
            <w:r>
              <w:rPr>
                <w:b/>
                <w:bCs/>
                <w:sz w:val="18"/>
                <w:szCs w:val="18"/>
              </w:rPr>
              <w:t xml:space="preserve">Ex. 10</w:t>
            </w:r>
          </w:p>
        </w:tc>
        <w:tc>
          <w:tcPr>
            <w:tcW w:type="dxa" w:w="8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Time-and-attendance records for Santos, January–March 2025, including the documented January 27 car-accident tardiness.</w:t>
            </w:r>
          </w:p>
        </w:tc>
      </w:tr>
      <w:tr>
        <w:tc>
          <w:tcPr>
            <w:tcW w:type="dxa" w:w="1100"/>
            <w:tcBorders>
              <w:top w:val="single" w:color="BBBBBB" w:sz="1"/>
              <w:left w:val="single" w:color="BBBBBB" w:sz="1"/>
              <w:bottom w:val="single" w:color="BBBBBB" w:sz="1"/>
              <w:right w:val="single" w:color="BBBBBB" w:sz="1"/>
            </w:tcBorders>
            <w:shd w:fill="EEF1F8" w:val="clear"/>
            <w:tcMar>
              <w:top w:type="dxa" w:w="80"/>
              <w:left w:type="dxa" w:w="120"/>
              <w:bottom w:type="dxa" w:w="80"/>
              <w:right w:type="dxa" w:w="120"/>
            </w:tcMar>
          </w:tcPr>
          <w:p>
            <w:r>
              <w:rPr>
                <w:b/>
                <w:bCs/>
                <w:sz w:val="18"/>
                <w:szCs w:val="18"/>
              </w:rPr>
              <w:t xml:space="preserve">Ex. 11</w:t>
            </w:r>
          </w:p>
        </w:tc>
        <w:tc>
          <w:tcPr>
            <w:tcW w:type="dxa" w:w="8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Comparator attendance records for three non-steward employees with similar or worse attendance who were not terminated.</w:t>
            </w:r>
          </w:p>
        </w:tc>
      </w:tr>
      <w:tr>
        <w:tc>
          <w:tcPr>
            <w:tcW w:type="dxa" w:w="1100"/>
            <w:tcBorders>
              <w:top w:val="single" w:color="BBBBBB" w:sz="1"/>
              <w:left w:val="single" w:color="BBBBBB" w:sz="1"/>
              <w:bottom w:val="single" w:color="BBBBBB" w:sz="1"/>
              <w:right w:val="single" w:color="BBBBBB" w:sz="1"/>
            </w:tcBorders>
            <w:shd w:fill="EEF1F8" w:val="clear"/>
            <w:tcMar>
              <w:top w:type="dxa" w:w="80"/>
              <w:left w:type="dxa" w:w="120"/>
              <w:bottom w:type="dxa" w:w="80"/>
              <w:right w:type="dxa" w:w="120"/>
            </w:tcMar>
          </w:tcPr>
          <w:p>
            <w:r>
              <w:rPr>
                <w:b/>
                <w:bCs/>
                <w:sz w:val="18"/>
                <w:szCs w:val="18"/>
              </w:rPr>
              <w:t xml:space="preserve">Ex. 12</w:t>
            </w:r>
          </w:p>
        </w:tc>
        <w:tc>
          <w:tcPr>
            <w:tcW w:type="dxa" w:w="82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sz w:val="18"/>
                <w:szCs w:val="18"/>
              </w:rPr>
              <w:t xml:space="preserve">Email from Greenbaum to Chen, dated March 5, 2025: “Let’s move forward with Santos per our discussion.”</w:t>
            </w:r>
          </w:p>
        </w:tc>
      </w:tr>
    </w:tbl>
    <w:p>
      <w:pPr>
        <w:pStyle w:val="Heading1"/>
      </w:pPr>
      <w:r>
        <w:t xml:space="preserve">6.  Legal Analysis</w:t>
      </w:r>
    </w:p>
    <w:p>
      <w:pPr>
        <w:spacing w:after="160" w:line="276"/>
        <w:jc w:val="both"/>
      </w:pPr>
      <w:r>
        <w:t xml:space="preserve">The investigation evaluated each allegation under the applicable provisions of the Act and controlling legal precedent. The analysis is organized by statutory subsection.</w:t>
      </w:r>
    </w:p>
    <w:p>
      <w:pPr>
        <w:pStyle w:val="Heading2"/>
      </w:pPr>
      <w:r>
        <w:t xml:space="preserve">6.1  Section 8(a)(1) — Interference, Restraint, and Coercion</w:t>
      </w:r>
    </w:p>
    <w:p>
      <w:pPr>
        <w:spacing w:after="160" w:line="276"/>
        <w:jc w:val="both"/>
      </w:pPr>
      <w:r>
        <w:t xml:space="preserve">Section 8(a)(1) makes it an unfair labor practice for an employer “to interfere with, restrain, or coerce employees in the exercise of the rights guaranteed in Section 7.” The test is objective: whether the employer’s conduct would reasonably tend to interfere with the free exercise of Section 7 rights, regardless of the employer’s subjective motive or whether coercion in fact succeeded.</w:t>
      </w:r>
    </w:p>
    <w:p>
      <w:pPr>
        <w:spacing w:after="160" w:line="276"/>
        <w:jc w:val="both"/>
      </w:pPr>
      <w:r>
        <w:t xml:space="preserve">Coercive interrogation (Waverly / Patel). Under the Board’s totality-of-the-circumstances standard articulated in Rossmore House, the lawfulness of questioning employees about union activity is assessed by considering factors such as the background of the parties, the nature of the information sought, the identity and position of the questioner, the place and method of interrogation, and whether the employee was an open union supporter. Here, the questioning occurred at the employee’s work station, was initiated by a direct supervisor, sought to learn whether the employee attended a union meeting, and was accompanied by the remark that “things are easier for guys who stay out of union business.” The accompanying remark transforms otherwise ambiguous questioning into a coercive communication that ties union participation to the employee’s job security. The totality of these circumstances supports a finding that the interrogation was unlawful.</w:t>
      </w:r>
    </w:p>
    <w:p>
      <w:pPr>
        <w:spacing w:after="160" w:line="276"/>
        <w:jc w:val="both"/>
      </w:pPr>
      <w:r>
        <w:t xml:space="preserve">Threats of plant closure (Chen). Under the standard established in Gissel Packing Co., an employer may lawfully make predictions about the consequences of unionization only if the prediction is carefully phrased on the basis of objective fact and demonstrably probable consequences beyond the employer’s control. A statement that conveys, instead, that the employer may take retaliatory action — such as closing the plant — because of protected activity is an unlawful threat. Chen’s statement that “companies that fight with unions sometimes have to make hard choices about staying open,” delivered at a mandatory meeting during a period of active grievance filing, would reasonably be understood as a threat of plant closure linked to continued union activity, and is therefore unlawful.</w:t>
      </w:r>
    </w:p>
    <w:p>
      <w:pPr>
        <w:spacing w:after="160" w:line="276"/>
        <w:jc w:val="both"/>
      </w:pPr>
      <w:r>
        <w:t xml:space="preserve">Solicitation of surveillance (Waverly / Kim). It is well established that an employer violates Section 8(a)(1) when it solicits employees to report on the union activities of their coworkers, because such solicitation reasonably tends to coerce employees in the exercise of their Section 7 rights. Waverly’s request that Kim “keep him in the loop” about what was discussed at union meetings constitutes an unlawful solicitation of surveillance. Kim’s contemporaneous report to Santos corroborates the request.</w:t>
      </w:r>
    </w:p>
    <w:p>
      <w:pPr>
        <w:pStyle w:val="Heading2"/>
      </w:pPr>
      <w:r>
        <w:t xml:space="preserve">6.2  Section 8(a)(3) — Discrimination Based on Union Activity</w:t>
      </w:r>
    </w:p>
    <w:p>
      <w:pPr>
        <w:spacing w:after="160" w:line="276"/>
        <w:jc w:val="both"/>
      </w:pPr>
      <w:r>
        <w:t xml:space="preserve">Section 8(a)(3) prohibits discrimination in regard to hire, tenure, or any term or condition of employment to discourage membership in a labor organization. Where employer motivation is at issue, the Board applies the burden-shifting framework established in Wright Line. Under that framework, the General Counsel must first show, by a preponderance of the evidence, that the employee’s protected activity was a motivating factor in the adverse employment action — typically through evidence of (1) protected activity, (2) employer knowledge of that activity, and (3) animus. If that showing is made, the burden shifts to the employer to demonstrate that it would have taken the same action even in the absence of the protected activity.</w:t>
      </w:r>
    </w:p>
    <w:p>
      <w:pPr>
        <w:spacing w:after="160" w:line="276"/>
        <w:jc w:val="both"/>
      </w:pPr>
      <w:r>
        <w:t xml:space="preserve">Protected activity and knowledge. Santos’s status as the elected chief steward and her filing of four grievances in February 2025 — including the grievance over the very attendance policy later used to discharge her — plainly constitute protected activity of which the Respondent had full knowledge.</w:t>
      </w:r>
    </w:p>
    <w:p>
      <w:pPr>
        <w:spacing w:after="160" w:line="276"/>
        <w:jc w:val="both"/>
      </w:pPr>
      <w:r>
        <w:t xml:space="preserve">Animus and motivating factor. Animus is established through multiple converging strands of evidence: (1) the close temporal proximity between Santos’s intensive grievance activity and her sudden discipline and discharge; (2) the disparate treatment shown by the comparator records (Ex. 11), reflecting non-steward employees with similar or worse attendance who were not disciplined; (3) the Respondent’s departure from its own prior progressive-discipline practice by treating an undocumented, uncounseled 8-minute tardiness as a basis for termination; and (4) the March 5 Greenbaum-to-Chen email (Ex. 12) indicating a decision to “move forward with Santos” that appears to precede any genuine attendance review. Together with the independent 8(a)(1) violations, this evidence readily satisfies the General Counsel’s initial burden.</w:t>
      </w:r>
    </w:p>
    <w:p>
      <w:pPr>
        <w:spacing w:after="160" w:line="276"/>
        <w:jc w:val="both"/>
      </w:pPr>
      <w:r>
        <w:t xml:space="preserve">Failure of the employer’s rebuttal. The Respondent’s asserted justification — attendance — is undermined by its inability to produce contemporaneous counseling documentation, its disparate treatment of comparators, and the pretext-suggesting email. On this record, the Respondent cannot carry its burden of showing it would have discharged Santos absent her protected activity. The evidence supports a strong case for discriminatory discharge.</w:t>
      </w:r>
    </w:p>
    <w:p>
      <w:pPr>
        <w:pStyle w:val="Heading2"/>
      </w:pPr>
      <w:r>
        <w:t xml:space="preserve">6.3  Section 8(a)(5) — Refusal to Bargain</w:t>
      </w:r>
    </w:p>
    <w:p>
      <w:pPr>
        <w:spacing w:after="160" w:line="276"/>
        <w:jc w:val="both"/>
      </w:pPr>
      <w:r>
        <w:t xml:space="preserve">Section 8(a)(5) requires an employer to bargain in good faith with the representative of its employees over wages, hours, and other terms and conditions of employment. Under the Supreme Court’s decision in Katz, an employer that unilaterally changes a mandatory subject of bargaining, without first bargaining to agreement or impasse, violates Section 8(a)(5) even absent subjective bad faith, because such conduct frustrates the statutory objective of collective bargaining.</w:t>
      </w:r>
    </w:p>
    <w:p>
      <w:pPr>
        <w:spacing w:after="160" w:line="276"/>
        <w:jc w:val="both"/>
      </w:pPr>
      <w:r>
        <w:t xml:space="preserve">Unilateral change to the attendance policy. Attendance and disciplinary policies are mandatory subjects of bargaining because they directly affect job security and the terms and conditions of employment. The Respondent’s implementation of the revised no-fault attendance policy effective January 8, 2025, without notice to the Union or an opportunity to bargain, is a textbook unilateral change. The Union’s prompt information request (Ex. 5) and grievance (Ex. 6) preserve the issue and negate any claim of waiver.</w:t>
      </w:r>
    </w:p>
    <w:p>
      <w:pPr>
        <w:spacing w:after="160" w:line="276"/>
        <w:jc w:val="both"/>
      </w:pPr>
      <w:r>
        <w:t xml:space="preserve">Refusal to bargain over safety. Workplace safety conditions are likewise mandatory subjects of bargaining. The Respondent’s March 3 response — denying any bargaining obligation and asserting that safety protocols are a reserved management right — does not relieve it of its duty to bargain over the effects, and in most cases the substance, of safety conditions, particularly following two injuries in Stamping Dept. B. A management-rights clause is construed narrowly and will not be read as a clear and unmistakable waiver of the statutory right to bargain absent specific contractual language. The refusal therefore supports an additional 8(a)(5) theory.</w:t>
      </w:r>
    </w:p>
    <w:p>
      <w:pPr>
        <w:pStyle w:val="Heading1"/>
      </w:pPr>
      <w:r>
        <w:t xml:space="preserve">7.  Evaluation of Evidence and Credibility</w:t>
      </w:r>
    </w:p>
    <w:p>
      <w:pPr>
        <w:spacing w:after="160" w:line="276"/>
        <w:jc w:val="both"/>
      </w:pPr>
      <w:r>
        <w:t xml:space="preserve">Resolution of the charge turns in part on credibility. The Region’s preliminary assessments, subject to development at hearing, are as follows:</w:t>
      </w:r>
    </w:p>
    <w:p>
      <w:pPr>
        <w:spacing w:after="160" w:line="276"/>
        <w:jc w:val="both"/>
      </w:pPr>
      <w:r>
        <w:t xml:space="preserve">Patel and Kim (credible). Both employees gave consistent, mutually corroborating accounts, displayed reluctance rather than eagerness to participate, and had no apparent motive to fabricate. Kim’s contemporaneous report to Santos on February 18 independently corroborates the timing of Waverly’s solicitation.</w:t>
      </w:r>
    </w:p>
    <w:p>
      <w:pPr>
        <w:spacing w:after="160" w:line="276"/>
        <w:jc w:val="both"/>
      </w:pPr>
      <w:r>
        <w:t xml:space="preserve">Santos (credible). Santos’s account is strongly supported by documentary evidence: her clean 12-year record (Ex. 7), the comparator data (Ex. 11), the documented car-accident tardiness (Ex. 10), and the timing of the first-ever warning (Ex. 8) immediately following intensive grievance activity.</w:t>
      </w:r>
    </w:p>
    <w:p>
      <w:pPr>
        <w:spacing w:after="160" w:line="276"/>
        <w:jc w:val="both"/>
      </w:pPr>
      <w:r>
        <w:t xml:space="preserve">Greenbaum and Chen (less credible). Both management witnesses were unable to produce documentation that should exist if their account were accurate — contemporaneous counseling records and comparator discipline records, respectively. The March 5 email (Ex. 12) is materially inconsistent with Greenbaum’s stated rationale and suggests a pre-determined outcome.</w:t>
      </w:r>
    </w:p>
    <w:p>
      <w:pPr>
        <w:spacing w:after="160" w:line="276"/>
        <w:jc w:val="both"/>
      </w:pPr>
      <w:r>
        <w:t xml:space="preserve">Waverly (partially credible). While Waverly denied soliciting surveillance, his admission that he questioned Patel about union-meeting attendance is dispositive of the interrogation allegation and corroborates the broader pattern described by Kim.</w:t>
      </w:r>
    </w:p>
    <w:p>
      <w:pPr>
        <w:pStyle w:val="Heading1"/>
      </w:pPr>
      <w:r>
        <w:t xml:space="preserve">8.  Recommendation</w:t>
      </w:r>
    </w:p>
    <w:p>
      <w:pPr>
        <w:spacing w:after="160" w:line="276"/>
        <w:jc w:val="both"/>
      </w:pPr>
      <w:r>
        <w:rPr>
          <w:b/>
          <w:bCs/>
        </w:rPr>
        <w:t xml:space="preserve">Recommendation: ISSUE COMPLAINT on all three theories — Sections 8(a)(1), 8(a)(3), and 8(a)(5). The evidence developed during the investigation supports a strong case on each count.</w:t>
      </w:r>
    </w:p>
    <w:p>
      <w:pPr>
        <w:spacing w:after="160" w:line="276"/>
        <w:jc w:val="both"/>
      </w:pPr>
      <w:r>
        <w:t xml:space="preserve">Recommended remedy. The Region recommends that the complaint seek the following relief:</w:t>
      </w:r>
    </w:p>
    <w:p>
      <w:pPr>
        <w:pStyle w:val="ListParagraph"/>
        <w:numPr>
          <w:ilvl w:val="0"/>
          <w:numId w:val="2"/>
        </w:numPr>
        <w:spacing w:after="80"/>
      </w:pPr>
      <w:r>
        <w:t xml:space="preserve">Reinstatement of Maria Santos to her former position with full backpay, benefits, and seniority, plus consequential damages and interest.</w:t>
      </w:r>
    </w:p>
    <w:p>
      <w:pPr>
        <w:pStyle w:val="ListParagraph"/>
        <w:numPr>
          <w:ilvl w:val="0"/>
          <w:numId w:val="2"/>
        </w:numPr>
        <w:spacing w:after="80"/>
      </w:pPr>
      <w:r>
        <w:t xml:space="preserve">Rescission of the revised attendance policy and a make-whole remedy for any employee disciplined under it, with retroactive bargaining over any proposed change.</w:t>
      </w:r>
    </w:p>
    <w:p>
      <w:pPr>
        <w:pStyle w:val="ListParagraph"/>
        <w:numPr>
          <w:ilvl w:val="0"/>
          <w:numId w:val="2"/>
        </w:numPr>
        <w:spacing w:after="80"/>
      </w:pPr>
      <w:r>
        <w:t xml:space="preserve">An order directing the Respondent to bargain in good faith over safety protocols in Stamping Dept. B.</w:t>
      </w:r>
    </w:p>
    <w:p>
      <w:pPr>
        <w:pStyle w:val="ListParagraph"/>
        <w:numPr>
          <w:ilvl w:val="0"/>
          <w:numId w:val="2"/>
        </w:numPr>
        <w:spacing w:after="80"/>
      </w:pPr>
      <w:r>
        <w:t xml:space="preserve">A cease-and-desist order prohibiting coercive interrogation, threats of plant closure, and solicitation of surveillance.</w:t>
      </w:r>
    </w:p>
    <w:p>
      <w:pPr>
        <w:pStyle w:val="ListParagraph"/>
        <w:numPr>
          <w:ilvl w:val="0"/>
          <w:numId w:val="2"/>
        </w:numPr>
        <w:spacing w:after="80"/>
      </w:pPr>
      <w:r>
        <w:t xml:space="preserve">Posting (physical and electronic) of a remedial notice to employees, and, given the gravity of the conduct, consideration of a reading of the notice.</w:t>
      </w:r>
    </w:p>
    <w:p>
      <w:pPr>
        <w:spacing w:before="120" w:after="120"/>
      </w:pPr>
      <w:r>
        <w:rPr>
          <w:b/>
          <w:bCs/>
        </w:rPr>
        <w:t xml:space="preserve">Merit Assessment: </w:t>
      </w:r>
      <w:r>
        <w:t xml:space="preserve">High merit. The record contains strong, corroborated, and largely documented evidence on all counts, including independent management admissions on the interrogation theory and pretext evidence on the discharge theory.</w:t>
      </w:r>
    </w:p>
    <w:p>
      <w:pPr>
        <w:spacing w:after="120"/>
      </w:pPr>
      <w:r>
        <w:rPr>
          <w:b/>
          <w:bCs/>
        </w:rPr>
        <w:t xml:space="preserve">Settlement Potential: </w:t>
      </w:r>
      <w:r>
        <w:t xml:space="preserve">Moderate to high. Because liability exposure is significant across multiple theories, the Respondent may have a strong incentive to settle. The Regional Director should explore a settlement — including reinstatement and backpay for Santos, rescission of the unilateral policy change, and a posted notice — prior to issuance of complaint. Absent a satisfactory settlement, the Region should proceed to complaint and hearing without delay given the strength of the evidence.</w:t>
      </w:r>
    </w:p>
    <w:p>
      <w:pPr>
        <w:spacing w:before="360"/>
      </w:pPr>
      <w:r>
        <w:rPr>
          <w:i/>
          <w:iCs/>
        </w:rPr>
        <w:t xml:space="preserve">Respectfully submitted for the Regional Director’s review,</w:t>
      </w:r>
    </w:p>
    <w:p>
      <w:pPr>
        <w:spacing w:before="240"/>
      </w:pPr>
      <w:r>
        <w:t xml:space="preserve">_______________________________</w:t>
      </w:r>
    </w:p>
    <w:p>
      <w:r>
        <w:t xml:space="preserve">Board Agent, Labor Relations Board</w:t>
      </w:r>
    </w:p>
    <w:p>
      <w:r>
        <w:t xml:space="preserve">Date: June 2, 2025</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tabs>
        <w:tab w:val="right" w:pos="9360"/>
      </w:tabs>
    </w:pPr>
    <w:r>
      <w:rPr>
        <w:color w:val="666666"/>
        <w:sz w:val="14"/>
        <w:szCs w:val="14"/>
      </w:rPr>
      <w:t xml:space="preserve">Training &amp; Reference Sample — Fictional Scenario — For Educational Use Only — Case No. LRB-CA-2025-0147</w:t>
    </w:r>
    <w:r>
      <w:rPr>
        <w:color w:val="666666"/>
        <w:sz w:val="14"/>
        <w:szCs w:val="14"/>
      </w:rPr>
      <w:t xml:space="preserve">	Page </w:t>
    </w:r>
    <w:r>
      <w:rPr>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3864" w:sz="6" w:space="4"/>
      </w:pBdr>
      <w:spacing w:before="28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00" w:after="12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2026-06-15T21:42:34.732Z</dcterms:created>
  <dcterms:modified xsi:type="dcterms:W3CDTF">2026-06-15T21:42:34.747Z</dcterms:modified>
</cp:coreProperties>
</file>

<file path=docProps/custom.xml><?xml version="1.0" encoding="utf-8"?>
<Properties xmlns="http://schemas.openxmlformats.org/officeDocument/2006/custom-properties" xmlns:vt="http://schemas.openxmlformats.org/officeDocument/2006/docPropsVTypes"/>
</file>