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Funds from the NSF DDIG will be dedicated to paying participants. Each participant will earn $2.50 as a guaranteed payment. There are two budget costs that will vary based on the participants’ decisions and performance. The first is the bonus payment for the task itself, which will vary based on the condition participants’ are assigned to (i.e., piece-rate and tournament payment) and their performance. We are basing their average task performance on participants from our preliminary studies. Additionally, participants’ bonus earnings from the follow-up questions about confidence will depend on their accuracy, so we use the average accuracy of participants from previous studies on the confidence measure to anticipate the costs for the confidence measure. Finally, Amazon Mechanical Turk charges a fee for using its services (20% of each worker’s total compensation) and Turkprime charges $.02 + 5% of the workers’ compensation for each participant. Dr. Apicella offers to cover the remaining costs of running the experiments that are not funded by the NSF.</w:t>
      </w:r>
    </w:p>
    <w:p>
      <w:pPr>
        <w:pStyle w:val="BodyText"/>
      </w:pPr>
    </w:p>
    <w:p>
      <w:pPr>
        <w:pStyle w:val="TableCaption"/>
      </w:pPr>
      <w:r>
        <w:t xml:space="preserve">Table 1. Budget calculation</w:t>
      </w:r>
    </w:p>
    <w:tbl>
      <w:tblPr>
        <w:tblStyle w:val="Table"/>
        <w:tblW w:type="pct" w:w="0.0"/>
        <w:tblLook w:firstRow="1"/>
        <w:tblCaption w:val="Table 1. Budget calculation"/>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Guaranteed payment</w:t>
            </w:r>
          </w:p>
        </w:tc>
        <w:tc>
          <w:tcPr>
            <w:tcBorders>
              <w:bottom w:val="single"/>
            </w:tcBorders>
            <w:vAlign w:val="bottom"/>
          </w:tcPr>
          <w:p>
            <w:pPr>
              <w:pStyle w:val="Compact"/>
              <w:jc w:val="right"/>
            </w:pPr>
            <w:r>
              <w:t xml:space="preserve">Bonus payment</w:t>
            </w:r>
          </w:p>
        </w:tc>
        <w:tc>
          <w:tcPr>
            <w:tcBorders>
              <w:bottom w:val="single"/>
            </w:tcBorders>
            <w:vAlign w:val="bottom"/>
          </w:tcPr>
          <w:p>
            <w:pPr>
              <w:pStyle w:val="Compact"/>
              <w:jc w:val="right"/>
            </w:pPr>
            <w:r>
              <w:t xml:space="preserve">MTurk fees</w:t>
            </w:r>
          </w:p>
        </w:tc>
        <w:tc>
          <w:tcPr>
            <w:tcBorders>
              <w:bottom w:val="single"/>
            </w:tcBorders>
            <w:vAlign w:val="bottom"/>
          </w:tcPr>
          <w:p>
            <w:pPr>
              <w:pStyle w:val="Compact"/>
              <w:jc w:val="right"/>
            </w:pPr>
            <w:r>
              <w:t xml:space="preserve">Turkprime fees</w:t>
            </w:r>
          </w:p>
        </w:tc>
        <w:tc>
          <w:tcPr>
            <w:tcBorders>
              <w:bottom w:val="single"/>
            </w:tcBorders>
            <w:vAlign w:val="bottom"/>
          </w:tcPr>
          <w:p>
            <w:pPr>
              <w:pStyle w:val="Compact"/>
              <w:jc w:val="right"/>
            </w:pPr>
            <w:r>
              <w:t xml:space="preserve">Total cost</w:t>
            </w:r>
          </w:p>
        </w:tc>
      </w:tr>
      <w:tr>
        <w:tc>
          <w:p>
            <w:pPr>
              <w:pStyle w:val="Compact"/>
              <w:jc w:val="left"/>
            </w:pPr>
            <w:r>
              <w:t xml:space="preserve">Study 1</w:t>
            </w:r>
          </w:p>
        </w:tc>
        <w:tc>
          <w:p>
            <w:pPr>
              <w:pStyle w:val="Compact"/>
              <w:jc w:val="right"/>
            </w:pPr>
            <w:r>
              <w:t xml:space="preserve">3,250</w:t>
            </w:r>
          </w:p>
        </w:tc>
        <w:tc>
          <w:p>
            <w:pPr>
              <w:pStyle w:val="Compact"/>
              <w:jc w:val="right"/>
            </w:pPr>
            <w:r>
              <w:t xml:space="preserve">8,125</w:t>
            </w:r>
          </w:p>
        </w:tc>
        <w:tc>
          <w:p>
            <w:pPr>
              <w:pStyle w:val="Compact"/>
              <w:jc w:val="right"/>
            </w:pPr>
            <w:r>
              <w:t xml:space="preserve">4,502.67</w:t>
            </w:r>
          </w:p>
        </w:tc>
        <w:tc>
          <w:p>
            <w:pPr>
              <w:pStyle w:val="Compact"/>
              <w:jc w:val="right"/>
            </w:pPr>
            <w:r>
              <w:t xml:space="preserve">2,525.53</w:t>
            </w:r>
          </w:p>
        </w:tc>
        <w:tc>
          <w:p>
            <w:pPr>
              <w:pStyle w:val="Compact"/>
              <w:jc w:val="right"/>
            </w:pPr>
            <w:r>
              <w:t xml:space="preserve">614.29</w:t>
            </w:r>
          </w:p>
        </w:tc>
        <w:tc>
          <w:p>
            <w:pPr>
              <w:pStyle w:val="Compact"/>
              <w:jc w:val="right"/>
            </w:pPr>
            <w:r>
              <w:t xml:space="preserve">15,767.49</w:t>
            </w:r>
          </w:p>
        </w:tc>
      </w:tr>
      <w:tr>
        <w:tc>
          <w:p>
            <w:pPr>
              <w:pStyle w:val="Compact"/>
              <w:jc w:val="left"/>
            </w:pPr>
            <w:r>
              <w:t xml:space="preserve">Study 2</w:t>
            </w:r>
          </w:p>
        </w:tc>
        <w:tc>
          <w:p>
            <w:pPr>
              <w:pStyle w:val="Compact"/>
              <w:jc w:val="right"/>
            </w:pPr>
            <w:r>
              <w:t xml:space="preserve">3,250</w:t>
            </w:r>
          </w:p>
        </w:tc>
        <w:tc>
          <w:p>
            <w:pPr>
              <w:pStyle w:val="Compact"/>
              <w:jc w:val="right"/>
            </w:pPr>
            <w:r>
              <w:t xml:space="preserve">8,125</w:t>
            </w:r>
          </w:p>
        </w:tc>
        <w:tc>
          <w:p>
            <w:pPr>
              <w:pStyle w:val="Compact"/>
              <w:jc w:val="right"/>
            </w:pPr>
            <w:r>
              <w:t xml:space="preserve">4,705.80</w:t>
            </w:r>
          </w:p>
        </w:tc>
        <w:tc>
          <w:p>
            <w:pPr>
              <w:pStyle w:val="Compact"/>
              <w:jc w:val="right"/>
            </w:pPr>
            <w:r>
              <w:t xml:space="preserve">2,566.16</w:t>
            </w:r>
          </w:p>
        </w:tc>
        <w:tc>
          <w:p>
            <w:pPr>
              <w:pStyle w:val="Compact"/>
              <w:jc w:val="right"/>
            </w:pPr>
            <w:r>
              <w:t xml:space="preserve">619.36</w:t>
            </w:r>
          </w:p>
        </w:tc>
        <w:tc>
          <w:p>
            <w:pPr>
              <w:pStyle w:val="Compact"/>
              <w:jc w:val="right"/>
            </w:pPr>
            <w:r>
              <w:t xml:space="preserve">16,016.32</w:t>
            </w:r>
          </w:p>
        </w:tc>
      </w:tr>
      <w:tr>
        <w:tc>
          <w:p>
            <w:pPr>
              <w:pStyle w:val="Compact"/>
              <w:jc w:val="left"/>
            </w:pPr>
            <w:r>
              <w:t xml:space="preserve">Total</w:t>
            </w:r>
          </w:p>
        </w:tc>
        <w:tc>
          <w:p>
            <w:pPr>
              <w:pStyle w:val="Compact"/>
              <w:jc w:val="right"/>
            </w:pPr>
            <w:r>
              <w:t xml:space="preserve">6,500</w:t>
            </w:r>
          </w:p>
        </w:tc>
        <w:tc>
          <w:p>
            <w:pPr>
              <w:pStyle w:val="Compact"/>
              <w:jc w:val="right"/>
            </w:pPr>
            <w:r>
              <w:t xml:space="preserve">16,250</w:t>
            </w:r>
          </w:p>
        </w:tc>
        <w:tc>
          <w:p>
            <w:pPr>
              <w:pStyle w:val="Compact"/>
              <w:jc w:val="right"/>
            </w:pPr>
            <w:r>
              <w:t xml:space="preserve">9,208.46</w:t>
            </w:r>
          </w:p>
        </w:tc>
        <w:tc>
          <w:p>
            <w:pPr>
              <w:pStyle w:val="Compact"/>
              <w:jc w:val="right"/>
            </w:pPr>
            <w:r>
              <w:t xml:space="preserve">5,091.69</w:t>
            </w:r>
          </w:p>
        </w:tc>
        <w:tc>
          <w:p>
            <w:pPr>
              <w:pStyle w:val="Compact"/>
              <w:jc w:val="right"/>
            </w:pPr>
            <w:r>
              <w:t xml:space="preserve">1,233.65</w:t>
            </w:r>
          </w:p>
        </w:tc>
        <w:tc>
          <w:p>
            <w:pPr>
              <w:pStyle w:val="Compact"/>
              <w:jc w:val="right"/>
            </w:pPr>
            <w:r>
              <w:t xml:space="preserve">31,783.81</w:t>
            </w:r>
          </w:p>
        </w:tc>
      </w:tr>
    </w:tbl>
    <w:sectPr w:rsidR="006A01C6">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9229E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471D38"/>
    <w:pPr>
      <w:spacing w:before="36" w:after="36"/>
      <w:jc w:val="center"/>
    </w:pPr>
    <w:rPr>
      <w:b/>
      <w:bCs/>
      <w:i/>
      <w:iC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9700</Words>
  <Characters>55295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2020-07-01T19:05:41Z</dcterms:created>
  <dcterms:modified xsi:type="dcterms:W3CDTF">2020-07-01T19:05:41Z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