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731A4" w14:textId="77777777" w:rsidR="006A01C6" w:rsidRDefault="00EC3EE3" w:rsidP="009229E8">
      <w:pPr>
        <w:pStyle w:val="Title"/>
        <w:spacing w:before="0" w:after="0"/>
      </w:pPr>
      <w:r>
        <w:t>Exploring gender differences in effort before competition</w:t>
      </w:r>
    </w:p>
    <w:p w14:paraId="670731A5" w14:textId="77777777" w:rsidR="006A01C6" w:rsidRDefault="00EC3EE3" w:rsidP="009229E8">
      <w:pPr>
        <w:pStyle w:val="Author"/>
        <w:spacing w:after="0"/>
      </w:pPr>
      <w:r>
        <w:t>Keana Richards</w:t>
      </w:r>
      <w:r>
        <w:rPr>
          <w:vertAlign w:val="superscript"/>
        </w:rPr>
        <w:t>1</w:t>
      </w:r>
    </w:p>
    <w:p w14:paraId="670731A6" w14:textId="77777777" w:rsidR="006A01C6" w:rsidRDefault="00EC3EE3" w:rsidP="009229E8">
      <w:pPr>
        <w:pStyle w:val="Author"/>
        <w:spacing w:after="0"/>
      </w:pPr>
      <w:r>
        <w:rPr>
          <w:vertAlign w:val="superscript"/>
        </w:rPr>
        <w:t>1</w:t>
      </w:r>
      <w:r>
        <w:t>University of Pennsylvania</w:t>
      </w:r>
    </w:p>
    <w:p w14:paraId="670731A7" w14:textId="77777777" w:rsidR="006A01C6" w:rsidRDefault="00EC3EE3" w:rsidP="009229E8">
      <w:pPr>
        <w:pStyle w:val="Date"/>
        <w:spacing w:after="0"/>
      </w:pPr>
      <w:r>
        <w:t>April 30, 2020</w:t>
      </w:r>
    </w:p>
    <w:sdt>
      <w:sdtPr>
        <w:rPr>
          <w:rFonts w:asciiTheme="minorHAnsi" w:eastAsiaTheme="minorHAnsi" w:hAnsiTheme="minorHAnsi" w:cstheme="minorBidi"/>
          <w:color w:val="auto"/>
          <w:sz w:val="24"/>
          <w:szCs w:val="24"/>
        </w:rPr>
        <w:id w:val="-2056226231"/>
        <w:docPartObj>
          <w:docPartGallery w:val="Table of Contents"/>
          <w:docPartUnique/>
        </w:docPartObj>
      </w:sdtPr>
      <w:sdtEndPr/>
      <w:sdtContent>
        <w:p w14:paraId="670731A8" w14:textId="77777777" w:rsidR="006A01C6" w:rsidRDefault="00EC3EE3" w:rsidP="009229E8">
          <w:pPr>
            <w:pStyle w:val="TOCHeading"/>
            <w:spacing w:before="0"/>
          </w:pPr>
          <w:r>
            <w:t>Table of Contents</w:t>
          </w:r>
        </w:p>
        <w:p w14:paraId="670731A9" w14:textId="77777777" w:rsidR="00F12CE9" w:rsidRDefault="00EC3EE3" w:rsidP="009229E8">
          <w:pPr>
            <w:pStyle w:val="TOC1"/>
            <w:tabs>
              <w:tab w:val="right" w:leader="dot" w:pos="9350"/>
            </w:tabs>
            <w:spacing w:after="0"/>
            <w:rPr>
              <w:rFonts w:eastAsiaTheme="minorEastAsia"/>
              <w:noProof/>
              <w:sz w:val="22"/>
              <w:szCs w:val="22"/>
            </w:rPr>
          </w:pPr>
          <w:r>
            <w:fldChar w:fldCharType="begin"/>
          </w:r>
          <w:r>
            <w:instrText>TOC \o "1-3" \h \z \u</w:instrText>
          </w:r>
          <w:r>
            <w:fldChar w:fldCharType="separate"/>
          </w:r>
          <w:hyperlink w:anchor="_Toc39138126" w:history="1">
            <w:r w:rsidR="00F12CE9" w:rsidRPr="007B4B32">
              <w:rPr>
                <w:rStyle w:val="Hyperlink"/>
                <w:noProof/>
              </w:rPr>
              <w:t>Project summary</w:t>
            </w:r>
            <w:r w:rsidR="00F12CE9">
              <w:rPr>
                <w:noProof/>
                <w:webHidden/>
              </w:rPr>
              <w:tab/>
            </w:r>
            <w:r w:rsidR="00F12CE9">
              <w:rPr>
                <w:noProof/>
                <w:webHidden/>
              </w:rPr>
              <w:fldChar w:fldCharType="begin"/>
            </w:r>
            <w:r w:rsidR="00F12CE9">
              <w:rPr>
                <w:noProof/>
                <w:webHidden/>
              </w:rPr>
              <w:instrText xml:space="preserve"> PAGEREF _Toc39138126 \h </w:instrText>
            </w:r>
            <w:r w:rsidR="00F12CE9">
              <w:rPr>
                <w:noProof/>
                <w:webHidden/>
              </w:rPr>
            </w:r>
            <w:r w:rsidR="00F12CE9">
              <w:rPr>
                <w:noProof/>
                <w:webHidden/>
              </w:rPr>
              <w:fldChar w:fldCharType="separate"/>
            </w:r>
            <w:r w:rsidR="00F12CE9">
              <w:rPr>
                <w:noProof/>
                <w:webHidden/>
              </w:rPr>
              <w:t>2</w:t>
            </w:r>
            <w:r w:rsidR="00F12CE9">
              <w:rPr>
                <w:noProof/>
                <w:webHidden/>
              </w:rPr>
              <w:fldChar w:fldCharType="end"/>
            </w:r>
          </w:hyperlink>
        </w:p>
        <w:p w14:paraId="670731AA" w14:textId="77777777" w:rsidR="00F12CE9" w:rsidRDefault="001F3BDE" w:rsidP="009229E8">
          <w:pPr>
            <w:pStyle w:val="TOC2"/>
            <w:tabs>
              <w:tab w:val="right" w:leader="dot" w:pos="9350"/>
            </w:tabs>
            <w:spacing w:after="0"/>
            <w:rPr>
              <w:rFonts w:eastAsiaTheme="minorEastAsia"/>
              <w:noProof/>
              <w:sz w:val="22"/>
              <w:szCs w:val="22"/>
            </w:rPr>
          </w:pPr>
          <w:hyperlink w:anchor="_Toc39138127" w:history="1">
            <w:r w:rsidR="00F12CE9" w:rsidRPr="007B4B32">
              <w:rPr>
                <w:rStyle w:val="Hyperlink"/>
                <w:noProof/>
              </w:rPr>
              <w:t>Overview</w:t>
            </w:r>
            <w:r w:rsidR="00F12CE9">
              <w:rPr>
                <w:noProof/>
                <w:webHidden/>
              </w:rPr>
              <w:tab/>
            </w:r>
            <w:r w:rsidR="00F12CE9">
              <w:rPr>
                <w:noProof/>
                <w:webHidden/>
              </w:rPr>
              <w:fldChar w:fldCharType="begin"/>
            </w:r>
            <w:r w:rsidR="00F12CE9">
              <w:rPr>
                <w:noProof/>
                <w:webHidden/>
              </w:rPr>
              <w:instrText xml:space="preserve"> PAGEREF _Toc39138127 \h </w:instrText>
            </w:r>
            <w:r w:rsidR="00F12CE9">
              <w:rPr>
                <w:noProof/>
                <w:webHidden/>
              </w:rPr>
            </w:r>
            <w:r w:rsidR="00F12CE9">
              <w:rPr>
                <w:noProof/>
                <w:webHidden/>
              </w:rPr>
              <w:fldChar w:fldCharType="separate"/>
            </w:r>
            <w:r w:rsidR="00F12CE9">
              <w:rPr>
                <w:noProof/>
                <w:webHidden/>
              </w:rPr>
              <w:t>2</w:t>
            </w:r>
            <w:r w:rsidR="00F12CE9">
              <w:rPr>
                <w:noProof/>
                <w:webHidden/>
              </w:rPr>
              <w:fldChar w:fldCharType="end"/>
            </w:r>
          </w:hyperlink>
        </w:p>
        <w:p w14:paraId="670731AB" w14:textId="77777777" w:rsidR="00F12CE9" w:rsidRDefault="001F3BDE" w:rsidP="009229E8">
          <w:pPr>
            <w:pStyle w:val="TOC2"/>
            <w:tabs>
              <w:tab w:val="right" w:leader="dot" w:pos="9350"/>
            </w:tabs>
            <w:spacing w:after="0"/>
            <w:rPr>
              <w:rFonts w:eastAsiaTheme="minorEastAsia"/>
              <w:noProof/>
              <w:sz w:val="22"/>
              <w:szCs w:val="22"/>
            </w:rPr>
          </w:pPr>
          <w:hyperlink w:anchor="_Toc39138128" w:history="1">
            <w:r w:rsidR="00F12CE9" w:rsidRPr="007B4B32">
              <w:rPr>
                <w:rStyle w:val="Hyperlink"/>
                <w:noProof/>
              </w:rPr>
              <w:t>Intellectual merit</w:t>
            </w:r>
            <w:r w:rsidR="00F12CE9">
              <w:rPr>
                <w:noProof/>
                <w:webHidden/>
              </w:rPr>
              <w:tab/>
            </w:r>
            <w:r w:rsidR="00F12CE9">
              <w:rPr>
                <w:noProof/>
                <w:webHidden/>
              </w:rPr>
              <w:fldChar w:fldCharType="begin"/>
            </w:r>
            <w:r w:rsidR="00F12CE9">
              <w:rPr>
                <w:noProof/>
                <w:webHidden/>
              </w:rPr>
              <w:instrText xml:space="preserve"> PAGEREF _Toc39138128 \h </w:instrText>
            </w:r>
            <w:r w:rsidR="00F12CE9">
              <w:rPr>
                <w:noProof/>
                <w:webHidden/>
              </w:rPr>
            </w:r>
            <w:r w:rsidR="00F12CE9">
              <w:rPr>
                <w:noProof/>
                <w:webHidden/>
              </w:rPr>
              <w:fldChar w:fldCharType="separate"/>
            </w:r>
            <w:r w:rsidR="00F12CE9">
              <w:rPr>
                <w:noProof/>
                <w:webHidden/>
              </w:rPr>
              <w:t>2</w:t>
            </w:r>
            <w:r w:rsidR="00F12CE9">
              <w:rPr>
                <w:noProof/>
                <w:webHidden/>
              </w:rPr>
              <w:fldChar w:fldCharType="end"/>
            </w:r>
          </w:hyperlink>
        </w:p>
        <w:p w14:paraId="670731AC" w14:textId="77777777" w:rsidR="00F12CE9" w:rsidRDefault="001F3BDE" w:rsidP="009229E8">
          <w:pPr>
            <w:pStyle w:val="TOC2"/>
            <w:tabs>
              <w:tab w:val="right" w:leader="dot" w:pos="9350"/>
            </w:tabs>
            <w:spacing w:after="0"/>
            <w:rPr>
              <w:rFonts w:eastAsiaTheme="minorEastAsia"/>
              <w:noProof/>
              <w:sz w:val="22"/>
              <w:szCs w:val="22"/>
            </w:rPr>
          </w:pPr>
          <w:hyperlink w:anchor="_Toc39138129" w:history="1">
            <w:r w:rsidR="00F12CE9" w:rsidRPr="007B4B32">
              <w:rPr>
                <w:rStyle w:val="Hyperlink"/>
                <w:noProof/>
              </w:rPr>
              <w:t>Broader impacts</w:t>
            </w:r>
            <w:r w:rsidR="00F12CE9">
              <w:rPr>
                <w:noProof/>
                <w:webHidden/>
              </w:rPr>
              <w:tab/>
            </w:r>
            <w:r w:rsidR="00F12CE9">
              <w:rPr>
                <w:noProof/>
                <w:webHidden/>
              </w:rPr>
              <w:fldChar w:fldCharType="begin"/>
            </w:r>
            <w:r w:rsidR="00F12CE9">
              <w:rPr>
                <w:noProof/>
                <w:webHidden/>
              </w:rPr>
              <w:instrText xml:space="preserve"> PAGEREF _Toc39138129 \h </w:instrText>
            </w:r>
            <w:r w:rsidR="00F12CE9">
              <w:rPr>
                <w:noProof/>
                <w:webHidden/>
              </w:rPr>
            </w:r>
            <w:r w:rsidR="00F12CE9">
              <w:rPr>
                <w:noProof/>
                <w:webHidden/>
              </w:rPr>
              <w:fldChar w:fldCharType="separate"/>
            </w:r>
            <w:r w:rsidR="00F12CE9">
              <w:rPr>
                <w:noProof/>
                <w:webHidden/>
              </w:rPr>
              <w:t>3</w:t>
            </w:r>
            <w:r w:rsidR="00F12CE9">
              <w:rPr>
                <w:noProof/>
                <w:webHidden/>
              </w:rPr>
              <w:fldChar w:fldCharType="end"/>
            </w:r>
          </w:hyperlink>
        </w:p>
        <w:p w14:paraId="670731AD" w14:textId="77777777" w:rsidR="00F12CE9" w:rsidRDefault="001F3BDE" w:rsidP="009229E8">
          <w:pPr>
            <w:pStyle w:val="TOC1"/>
            <w:tabs>
              <w:tab w:val="right" w:leader="dot" w:pos="9350"/>
            </w:tabs>
            <w:spacing w:after="0"/>
            <w:rPr>
              <w:rFonts w:eastAsiaTheme="minorEastAsia"/>
              <w:noProof/>
              <w:sz w:val="22"/>
              <w:szCs w:val="22"/>
            </w:rPr>
          </w:pPr>
          <w:hyperlink w:anchor="_Toc39138130" w:history="1">
            <w:r w:rsidR="00F12CE9" w:rsidRPr="007B4B32">
              <w:rPr>
                <w:rStyle w:val="Hyperlink"/>
                <w:noProof/>
              </w:rPr>
              <w:t>Project description</w:t>
            </w:r>
            <w:r w:rsidR="00F12CE9">
              <w:rPr>
                <w:noProof/>
                <w:webHidden/>
              </w:rPr>
              <w:tab/>
            </w:r>
            <w:r w:rsidR="00F12CE9">
              <w:rPr>
                <w:noProof/>
                <w:webHidden/>
              </w:rPr>
              <w:fldChar w:fldCharType="begin"/>
            </w:r>
            <w:r w:rsidR="00F12CE9">
              <w:rPr>
                <w:noProof/>
                <w:webHidden/>
              </w:rPr>
              <w:instrText xml:space="preserve"> PAGEREF _Toc39138130 \h </w:instrText>
            </w:r>
            <w:r w:rsidR="00F12CE9">
              <w:rPr>
                <w:noProof/>
                <w:webHidden/>
              </w:rPr>
            </w:r>
            <w:r w:rsidR="00F12CE9">
              <w:rPr>
                <w:noProof/>
                <w:webHidden/>
              </w:rPr>
              <w:fldChar w:fldCharType="separate"/>
            </w:r>
            <w:r w:rsidR="00F12CE9">
              <w:rPr>
                <w:noProof/>
                <w:webHidden/>
              </w:rPr>
              <w:t>4</w:t>
            </w:r>
            <w:r w:rsidR="00F12CE9">
              <w:rPr>
                <w:noProof/>
                <w:webHidden/>
              </w:rPr>
              <w:fldChar w:fldCharType="end"/>
            </w:r>
          </w:hyperlink>
        </w:p>
        <w:p w14:paraId="670731AE" w14:textId="77777777" w:rsidR="00F12CE9" w:rsidRDefault="001F3BDE" w:rsidP="009229E8">
          <w:pPr>
            <w:pStyle w:val="TOC2"/>
            <w:tabs>
              <w:tab w:val="right" w:leader="dot" w:pos="9350"/>
            </w:tabs>
            <w:spacing w:after="0"/>
            <w:rPr>
              <w:rFonts w:eastAsiaTheme="minorEastAsia"/>
              <w:noProof/>
              <w:sz w:val="22"/>
              <w:szCs w:val="22"/>
            </w:rPr>
          </w:pPr>
          <w:hyperlink w:anchor="_Toc39138131" w:history="1">
            <w:r w:rsidR="00F12CE9" w:rsidRPr="007B4B32">
              <w:rPr>
                <w:rStyle w:val="Hyperlink"/>
                <w:noProof/>
              </w:rPr>
              <w:t>Introduction</w:t>
            </w:r>
            <w:r w:rsidR="00F12CE9">
              <w:rPr>
                <w:noProof/>
                <w:webHidden/>
              </w:rPr>
              <w:tab/>
            </w:r>
            <w:r w:rsidR="00F12CE9">
              <w:rPr>
                <w:noProof/>
                <w:webHidden/>
              </w:rPr>
              <w:fldChar w:fldCharType="begin"/>
            </w:r>
            <w:r w:rsidR="00F12CE9">
              <w:rPr>
                <w:noProof/>
                <w:webHidden/>
              </w:rPr>
              <w:instrText xml:space="preserve"> PAGEREF _Toc39138131 \h </w:instrText>
            </w:r>
            <w:r w:rsidR="00F12CE9">
              <w:rPr>
                <w:noProof/>
                <w:webHidden/>
              </w:rPr>
            </w:r>
            <w:r w:rsidR="00F12CE9">
              <w:rPr>
                <w:noProof/>
                <w:webHidden/>
              </w:rPr>
              <w:fldChar w:fldCharType="separate"/>
            </w:r>
            <w:r w:rsidR="00F12CE9">
              <w:rPr>
                <w:noProof/>
                <w:webHidden/>
              </w:rPr>
              <w:t>4</w:t>
            </w:r>
            <w:r w:rsidR="00F12CE9">
              <w:rPr>
                <w:noProof/>
                <w:webHidden/>
              </w:rPr>
              <w:fldChar w:fldCharType="end"/>
            </w:r>
          </w:hyperlink>
        </w:p>
        <w:p w14:paraId="670731AF" w14:textId="77777777" w:rsidR="00F12CE9" w:rsidRDefault="001F3BDE" w:rsidP="009229E8">
          <w:pPr>
            <w:pStyle w:val="TOC3"/>
            <w:tabs>
              <w:tab w:val="right" w:leader="dot" w:pos="9350"/>
            </w:tabs>
            <w:spacing w:after="0"/>
            <w:rPr>
              <w:rFonts w:eastAsiaTheme="minorEastAsia"/>
              <w:noProof/>
              <w:sz w:val="22"/>
              <w:szCs w:val="22"/>
            </w:rPr>
          </w:pPr>
          <w:hyperlink w:anchor="_Toc39138132" w:history="1">
            <w:r w:rsidR="00F12CE9" w:rsidRPr="007B4B32">
              <w:rPr>
                <w:rStyle w:val="Hyperlink"/>
                <w:noProof/>
              </w:rPr>
              <w:t>Prevalence of competition in the modern labor market</w:t>
            </w:r>
            <w:r w:rsidR="00F12CE9">
              <w:rPr>
                <w:noProof/>
                <w:webHidden/>
              </w:rPr>
              <w:tab/>
            </w:r>
            <w:r w:rsidR="00F12CE9">
              <w:rPr>
                <w:noProof/>
                <w:webHidden/>
              </w:rPr>
              <w:fldChar w:fldCharType="begin"/>
            </w:r>
            <w:r w:rsidR="00F12CE9">
              <w:rPr>
                <w:noProof/>
                <w:webHidden/>
              </w:rPr>
              <w:instrText xml:space="preserve"> PAGEREF _Toc39138132 \h </w:instrText>
            </w:r>
            <w:r w:rsidR="00F12CE9">
              <w:rPr>
                <w:noProof/>
                <w:webHidden/>
              </w:rPr>
            </w:r>
            <w:r w:rsidR="00F12CE9">
              <w:rPr>
                <w:noProof/>
                <w:webHidden/>
              </w:rPr>
              <w:fldChar w:fldCharType="separate"/>
            </w:r>
            <w:r w:rsidR="00F12CE9">
              <w:rPr>
                <w:noProof/>
                <w:webHidden/>
              </w:rPr>
              <w:t>4</w:t>
            </w:r>
            <w:r w:rsidR="00F12CE9">
              <w:rPr>
                <w:noProof/>
                <w:webHidden/>
              </w:rPr>
              <w:fldChar w:fldCharType="end"/>
            </w:r>
          </w:hyperlink>
        </w:p>
        <w:p w14:paraId="670731B0" w14:textId="77777777" w:rsidR="00F12CE9" w:rsidRDefault="001F3BDE" w:rsidP="009229E8">
          <w:pPr>
            <w:pStyle w:val="TOC3"/>
            <w:tabs>
              <w:tab w:val="right" w:leader="dot" w:pos="9350"/>
            </w:tabs>
            <w:spacing w:after="0"/>
            <w:rPr>
              <w:rFonts w:eastAsiaTheme="minorEastAsia"/>
              <w:noProof/>
              <w:sz w:val="22"/>
              <w:szCs w:val="22"/>
            </w:rPr>
          </w:pPr>
          <w:hyperlink w:anchor="_Toc39138133" w:history="1">
            <w:r w:rsidR="00F12CE9" w:rsidRPr="007B4B32">
              <w:rPr>
                <w:rStyle w:val="Hyperlink"/>
                <w:noProof/>
              </w:rPr>
              <w:t>Competition and gender</w:t>
            </w:r>
            <w:r w:rsidR="00F12CE9">
              <w:rPr>
                <w:noProof/>
                <w:webHidden/>
              </w:rPr>
              <w:tab/>
            </w:r>
            <w:r w:rsidR="00F12CE9">
              <w:rPr>
                <w:noProof/>
                <w:webHidden/>
              </w:rPr>
              <w:fldChar w:fldCharType="begin"/>
            </w:r>
            <w:r w:rsidR="00F12CE9">
              <w:rPr>
                <w:noProof/>
                <w:webHidden/>
              </w:rPr>
              <w:instrText xml:space="preserve"> PAGEREF _Toc39138133 \h </w:instrText>
            </w:r>
            <w:r w:rsidR="00F12CE9">
              <w:rPr>
                <w:noProof/>
                <w:webHidden/>
              </w:rPr>
            </w:r>
            <w:r w:rsidR="00F12CE9">
              <w:rPr>
                <w:noProof/>
                <w:webHidden/>
              </w:rPr>
              <w:fldChar w:fldCharType="separate"/>
            </w:r>
            <w:r w:rsidR="00F12CE9">
              <w:rPr>
                <w:noProof/>
                <w:webHidden/>
              </w:rPr>
              <w:t>4</w:t>
            </w:r>
            <w:r w:rsidR="00F12CE9">
              <w:rPr>
                <w:noProof/>
                <w:webHidden/>
              </w:rPr>
              <w:fldChar w:fldCharType="end"/>
            </w:r>
          </w:hyperlink>
        </w:p>
        <w:p w14:paraId="670731B1" w14:textId="77777777" w:rsidR="00F12CE9" w:rsidRDefault="001F3BDE" w:rsidP="009229E8">
          <w:pPr>
            <w:pStyle w:val="TOC3"/>
            <w:tabs>
              <w:tab w:val="right" w:leader="dot" w:pos="9350"/>
            </w:tabs>
            <w:spacing w:after="0"/>
            <w:rPr>
              <w:rFonts w:eastAsiaTheme="minorEastAsia"/>
              <w:noProof/>
              <w:sz w:val="22"/>
              <w:szCs w:val="22"/>
            </w:rPr>
          </w:pPr>
          <w:hyperlink w:anchor="_Toc39138134" w:history="1">
            <w:r w:rsidR="00F12CE9" w:rsidRPr="007B4B32">
              <w:rPr>
                <w:rStyle w:val="Hyperlink"/>
                <w:noProof/>
              </w:rPr>
              <w:t>Women’s effort before competition</w:t>
            </w:r>
            <w:r w:rsidR="00F12CE9">
              <w:rPr>
                <w:noProof/>
                <w:webHidden/>
              </w:rPr>
              <w:tab/>
            </w:r>
            <w:r w:rsidR="00F12CE9">
              <w:rPr>
                <w:noProof/>
                <w:webHidden/>
              </w:rPr>
              <w:fldChar w:fldCharType="begin"/>
            </w:r>
            <w:r w:rsidR="00F12CE9">
              <w:rPr>
                <w:noProof/>
                <w:webHidden/>
              </w:rPr>
              <w:instrText xml:space="preserve"> PAGEREF _Toc39138134 \h </w:instrText>
            </w:r>
            <w:r w:rsidR="00F12CE9">
              <w:rPr>
                <w:noProof/>
                <w:webHidden/>
              </w:rPr>
            </w:r>
            <w:r w:rsidR="00F12CE9">
              <w:rPr>
                <w:noProof/>
                <w:webHidden/>
              </w:rPr>
              <w:fldChar w:fldCharType="separate"/>
            </w:r>
            <w:r w:rsidR="00F12CE9">
              <w:rPr>
                <w:noProof/>
                <w:webHidden/>
              </w:rPr>
              <w:t>5</w:t>
            </w:r>
            <w:r w:rsidR="00F12CE9">
              <w:rPr>
                <w:noProof/>
                <w:webHidden/>
              </w:rPr>
              <w:fldChar w:fldCharType="end"/>
            </w:r>
          </w:hyperlink>
        </w:p>
        <w:p w14:paraId="670731B2" w14:textId="77777777" w:rsidR="00F12CE9" w:rsidRDefault="001F3BDE" w:rsidP="009229E8">
          <w:pPr>
            <w:pStyle w:val="TOC3"/>
            <w:tabs>
              <w:tab w:val="right" w:leader="dot" w:pos="9350"/>
            </w:tabs>
            <w:spacing w:after="0"/>
            <w:rPr>
              <w:rFonts w:eastAsiaTheme="minorEastAsia"/>
              <w:noProof/>
              <w:sz w:val="22"/>
              <w:szCs w:val="22"/>
            </w:rPr>
          </w:pPr>
          <w:hyperlink w:anchor="_Toc39138135" w:history="1">
            <w:r w:rsidR="00F12CE9" w:rsidRPr="007B4B32">
              <w:rPr>
                <w:rStyle w:val="Hyperlink"/>
                <w:noProof/>
              </w:rPr>
              <w:t>Preliminary data</w:t>
            </w:r>
            <w:r w:rsidR="00F12CE9">
              <w:rPr>
                <w:noProof/>
                <w:webHidden/>
              </w:rPr>
              <w:tab/>
            </w:r>
            <w:r w:rsidR="00F12CE9">
              <w:rPr>
                <w:noProof/>
                <w:webHidden/>
              </w:rPr>
              <w:fldChar w:fldCharType="begin"/>
            </w:r>
            <w:r w:rsidR="00F12CE9">
              <w:rPr>
                <w:noProof/>
                <w:webHidden/>
              </w:rPr>
              <w:instrText xml:space="preserve"> PAGEREF _Toc39138135 \h </w:instrText>
            </w:r>
            <w:r w:rsidR="00F12CE9">
              <w:rPr>
                <w:noProof/>
                <w:webHidden/>
              </w:rPr>
            </w:r>
            <w:r w:rsidR="00F12CE9">
              <w:rPr>
                <w:noProof/>
                <w:webHidden/>
              </w:rPr>
              <w:fldChar w:fldCharType="separate"/>
            </w:r>
            <w:r w:rsidR="00F12CE9">
              <w:rPr>
                <w:noProof/>
                <w:webHidden/>
              </w:rPr>
              <w:t>5</w:t>
            </w:r>
            <w:r w:rsidR="00F12CE9">
              <w:rPr>
                <w:noProof/>
                <w:webHidden/>
              </w:rPr>
              <w:fldChar w:fldCharType="end"/>
            </w:r>
          </w:hyperlink>
        </w:p>
        <w:p w14:paraId="670731B3" w14:textId="77777777" w:rsidR="00F12CE9" w:rsidRDefault="001F3BDE" w:rsidP="009229E8">
          <w:pPr>
            <w:pStyle w:val="TOC3"/>
            <w:tabs>
              <w:tab w:val="right" w:leader="dot" w:pos="9350"/>
            </w:tabs>
            <w:spacing w:after="0"/>
            <w:rPr>
              <w:rFonts w:eastAsiaTheme="minorEastAsia"/>
              <w:noProof/>
              <w:sz w:val="22"/>
              <w:szCs w:val="22"/>
            </w:rPr>
          </w:pPr>
          <w:hyperlink w:anchor="_Toc39138136" w:history="1">
            <w:r w:rsidR="00F12CE9" w:rsidRPr="007B4B32">
              <w:rPr>
                <w:rStyle w:val="Hyperlink"/>
                <w:noProof/>
              </w:rPr>
              <w:t>Open questions</w:t>
            </w:r>
            <w:r w:rsidR="00F12CE9">
              <w:rPr>
                <w:noProof/>
                <w:webHidden/>
              </w:rPr>
              <w:tab/>
            </w:r>
            <w:r w:rsidR="00F12CE9">
              <w:rPr>
                <w:noProof/>
                <w:webHidden/>
              </w:rPr>
              <w:fldChar w:fldCharType="begin"/>
            </w:r>
            <w:r w:rsidR="00F12CE9">
              <w:rPr>
                <w:noProof/>
                <w:webHidden/>
              </w:rPr>
              <w:instrText xml:space="preserve"> PAGEREF _Toc39138136 \h </w:instrText>
            </w:r>
            <w:r w:rsidR="00F12CE9">
              <w:rPr>
                <w:noProof/>
                <w:webHidden/>
              </w:rPr>
            </w:r>
            <w:r w:rsidR="00F12CE9">
              <w:rPr>
                <w:noProof/>
                <w:webHidden/>
              </w:rPr>
              <w:fldChar w:fldCharType="separate"/>
            </w:r>
            <w:r w:rsidR="00F12CE9">
              <w:rPr>
                <w:noProof/>
                <w:webHidden/>
              </w:rPr>
              <w:t>6</w:t>
            </w:r>
            <w:r w:rsidR="00F12CE9">
              <w:rPr>
                <w:noProof/>
                <w:webHidden/>
              </w:rPr>
              <w:fldChar w:fldCharType="end"/>
            </w:r>
          </w:hyperlink>
        </w:p>
        <w:p w14:paraId="670731B4" w14:textId="77777777" w:rsidR="00F12CE9" w:rsidRDefault="001F3BDE" w:rsidP="009229E8">
          <w:pPr>
            <w:pStyle w:val="TOC2"/>
            <w:tabs>
              <w:tab w:val="right" w:leader="dot" w:pos="9350"/>
            </w:tabs>
            <w:spacing w:after="0"/>
            <w:rPr>
              <w:rFonts w:eastAsiaTheme="minorEastAsia"/>
              <w:noProof/>
              <w:sz w:val="22"/>
              <w:szCs w:val="22"/>
            </w:rPr>
          </w:pPr>
          <w:hyperlink w:anchor="_Toc39138137" w:history="1">
            <w:r w:rsidR="00F12CE9" w:rsidRPr="007B4B32">
              <w:rPr>
                <w:rStyle w:val="Hyperlink"/>
                <w:noProof/>
              </w:rPr>
              <w:t>Proposed research</w:t>
            </w:r>
            <w:r w:rsidR="00F12CE9">
              <w:rPr>
                <w:noProof/>
                <w:webHidden/>
              </w:rPr>
              <w:tab/>
            </w:r>
            <w:r w:rsidR="00F12CE9">
              <w:rPr>
                <w:noProof/>
                <w:webHidden/>
              </w:rPr>
              <w:fldChar w:fldCharType="begin"/>
            </w:r>
            <w:r w:rsidR="00F12CE9">
              <w:rPr>
                <w:noProof/>
                <w:webHidden/>
              </w:rPr>
              <w:instrText xml:space="preserve"> PAGEREF _Toc39138137 \h </w:instrText>
            </w:r>
            <w:r w:rsidR="00F12CE9">
              <w:rPr>
                <w:noProof/>
                <w:webHidden/>
              </w:rPr>
            </w:r>
            <w:r w:rsidR="00F12CE9">
              <w:rPr>
                <w:noProof/>
                <w:webHidden/>
              </w:rPr>
              <w:fldChar w:fldCharType="separate"/>
            </w:r>
            <w:r w:rsidR="00F12CE9">
              <w:rPr>
                <w:noProof/>
                <w:webHidden/>
              </w:rPr>
              <w:t>7</w:t>
            </w:r>
            <w:r w:rsidR="00F12CE9">
              <w:rPr>
                <w:noProof/>
                <w:webHidden/>
              </w:rPr>
              <w:fldChar w:fldCharType="end"/>
            </w:r>
          </w:hyperlink>
        </w:p>
        <w:p w14:paraId="670731B5" w14:textId="77777777" w:rsidR="00F12CE9" w:rsidRDefault="001F3BDE" w:rsidP="009229E8">
          <w:pPr>
            <w:pStyle w:val="TOC3"/>
            <w:tabs>
              <w:tab w:val="right" w:leader="dot" w:pos="9350"/>
            </w:tabs>
            <w:spacing w:after="0"/>
            <w:rPr>
              <w:rFonts w:eastAsiaTheme="minorEastAsia"/>
              <w:noProof/>
              <w:sz w:val="22"/>
              <w:szCs w:val="22"/>
            </w:rPr>
          </w:pPr>
          <w:hyperlink w:anchor="_Toc39138138" w:history="1">
            <w:r w:rsidR="00F12CE9" w:rsidRPr="007B4B32">
              <w:rPr>
                <w:rStyle w:val="Hyperlink"/>
                <w:noProof/>
              </w:rPr>
              <w:t>Study 1: Does competition elicit gender differences in effort?</w:t>
            </w:r>
            <w:r w:rsidR="00F12CE9">
              <w:rPr>
                <w:noProof/>
                <w:webHidden/>
              </w:rPr>
              <w:tab/>
            </w:r>
            <w:r w:rsidR="00F12CE9">
              <w:rPr>
                <w:noProof/>
                <w:webHidden/>
              </w:rPr>
              <w:fldChar w:fldCharType="begin"/>
            </w:r>
            <w:r w:rsidR="00F12CE9">
              <w:rPr>
                <w:noProof/>
                <w:webHidden/>
              </w:rPr>
              <w:instrText xml:space="preserve"> PAGEREF _Toc39138138 \h </w:instrText>
            </w:r>
            <w:r w:rsidR="00F12CE9">
              <w:rPr>
                <w:noProof/>
                <w:webHidden/>
              </w:rPr>
            </w:r>
            <w:r w:rsidR="00F12CE9">
              <w:rPr>
                <w:noProof/>
                <w:webHidden/>
              </w:rPr>
              <w:fldChar w:fldCharType="separate"/>
            </w:r>
            <w:r w:rsidR="00F12CE9">
              <w:rPr>
                <w:noProof/>
                <w:webHidden/>
              </w:rPr>
              <w:t>7</w:t>
            </w:r>
            <w:r w:rsidR="00F12CE9">
              <w:rPr>
                <w:noProof/>
                <w:webHidden/>
              </w:rPr>
              <w:fldChar w:fldCharType="end"/>
            </w:r>
          </w:hyperlink>
        </w:p>
        <w:p w14:paraId="670731B6" w14:textId="77777777" w:rsidR="00F12CE9" w:rsidRDefault="001F3BDE" w:rsidP="009229E8">
          <w:pPr>
            <w:pStyle w:val="TOC3"/>
            <w:tabs>
              <w:tab w:val="right" w:leader="dot" w:pos="9350"/>
            </w:tabs>
            <w:spacing w:after="0"/>
            <w:rPr>
              <w:rFonts w:eastAsiaTheme="minorEastAsia"/>
              <w:noProof/>
              <w:sz w:val="22"/>
              <w:szCs w:val="22"/>
            </w:rPr>
          </w:pPr>
          <w:hyperlink w:anchor="_Toc39138139" w:history="1">
            <w:r w:rsidR="00F12CE9" w:rsidRPr="007B4B32">
              <w:rPr>
                <w:rStyle w:val="Hyperlink"/>
                <w:noProof/>
              </w:rPr>
              <w:t>Study 2: Do task stereotypes elicit gender differences in effort during competition?</w:t>
            </w:r>
            <w:r w:rsidR="00F12CE9">
              <w:rPr>
                <w:noProof/>
                <w:webHidden/>
              </w:rPr>
              <w:tab/>
            </w:r>
            <w:r w:rsidR="00F12CE9">
              <w:rPr>
                <w:noProof/>
                <w:webHidden/>
              </w:rPr>
              <w:fldChar w:fldCharType="begin"/>
            </w:r>
            <w:r w:rsidR="00F12CE9">
              <w:rPr>
                <w:noProof/>
                <w:webHidden/>
              </w:rPr>
              <w:instrText xml:space="preserve"> PAGEREF _Toc39138139 \h </w:instrText>
            </w:r>
            <w:r w:rsidR="00F12CE9">
              <w:rPr>
                <w:noProof/>
                <w:webHidden/>
              </w:rPr>
            </w:r>
            <w:r w:rsidR="00F12CE9">
              <w:rPr>
                <w:noProof/>
                <w:webHidden/>
              </w:rPr>
              <w:fldChar w:fldCharType="separate"/>
            </w:r>
            <w:r w:rsidR="00F12CE9">
              <w:rPr>
                <w:noProof/>
                <w:webHidden/>
              </w:rPr>
              <w:t>11</w:t>
            </w:r>
            <w:r w:rsidR="00F12CE9">
              <w:rPr>
                <w:noProof/>
                <w:webHidden/>
              </w:rPr>
              <w:fldChar w:fldCharType="end"/>
            </w:r>
          </w:hyperlink>
        </w:p>
        <w:p w14:paraId="670731B7" w14:textId="77777777" w:rsidR="00F12CE9" w:rsidRDefault="001F3BDE" w:rsidP="009229E8">
          <w:pPr>
            <w:pStyle w:val="TOC1"/>
            <w:tabs>
              <w:tab w:val="right" w:leader="dot" w:pos="9350"/>
            </w:tabs>
            <w:spacing w:after="0"/>
            <w:rPr>
              <w:rFonts w:eastAsiaTheme="minorEastAsia"/>
              <w:noProof/>
              <w:sz w:val="22"/>
              <w:szCs w:val="22"/>
            </w:rPr>
          </w:pPr>
          <w:hyperlink w:anchor="_Toc39138140" w:history="1">
            <w:r w:rsidR="00F12CE9" w:rsidRPr="007B4B32">
              <w:rPr>
                <w:rStyle w:val="Hyperlink"/>
                <w:noProof/>
              </w:rPr>
              <w:t>Broader impacts</w:t>
            </w:r>
            <w:r w:rsidR="00F12CE9">
              <w:rPr>
                <w:noProof/>
                <w:webHidden/>
              </w:rPr>
              <w:tab/>
            </w:r>
            <w:r w:rsidR="00F12CE9">
              <w:rPr>
                <w:noProof/>
                <w:webHidden/>
              </w:rPr>
              <w:fldChar w:fldCharType="begin"/>
            </w:r>
            <w:r w:rsidR="00F12CE9">
              <w:rPr>
                <w:noProof/>
                <w:webHidden/>
              </w:rPr>
              <w:instrText xml:space="preserve"> PAGEREF _Toc39138140 \h </w:instrText>
            </w:r>
            <w:r w:rsidR="00F12CE9">
              <w:rPr>
                <w:noProof/>
                <w:webHidden/>
              </w:rPr>
            </w:r>
            <w:r w:rsidR="00F12CE9">
              <w:rPr>
                <w:noProof/>
                <w:webHidden/>
              </w:rPr>
              <w:fldChar w:fldCharType="separate"/>
            </w:r>
            <w:r w:rsidR="00F12CE9">
              <w:rPr>
                <w:noProof/>
                <w:webHidden/>
              </w:rPr>
              <w:t>13</w:t>
            </w:r>
            <w:r w:rsidR="00F12CE9">
              <w:rPr>
                <w:noProof/>
                <w:webHidden/>
              </w:rPr>
              <w:fldChar w:fldCharType="end"/>
            </w:r>
          </w:hyperlink>
        </w:p>
        <w:p w14:paraId="670731B8" w14:textId="77777777" w:rsidR="00F12CE9" w:rsidRDefault="001F3BDE" w:rsidP="009229E8">
          <w:pPr>
            <w:pStyle w:val="TOC1"/>
            <w:tabs>
              <w:tab w:val="right" w:leader="dot" w:pos="9350"/>
            </w:tabs>
            <w:spacing w:after="0"/>
            <w:rPr>
              <w:rFonts w:eastAsiaTheme="minorEastAsia"/>
              <w:noProof/>
              <w:sz w:val="22"/>
              <w:szCs w:val="22"/>
            </w:rPr>
          </w:pPr>
          <w:hyperlink w:anchor="_Toc39138141" w:history="1">
            <w:r w:rsidR="00F12CE9" w:rsidRPr="007B4B32">
              <w:rPr>
                <w:rStyle w:val="Hyperlink"/>
                <w:noProof/>
              </w:rPr>
              <w:t>Future directions</w:t>
            </w:r>
            <w:r w:rsidR="00F12CE9">
              <w:rPr>
                <w:noProof/>
                <w:webHidden/>
              </w:rPr>
              <w:tab/>
            </w:r>
            <w:r w:rsidR="00F12CE9">
              <w:rPr>
                <w:noProof/>
                <w:webHidden/>
              </w:rPr>
              <w:fldChar w:fldCharType="begin"/>
            </w:r>
            <w:r w:rsidR="00F12CE9">
              <w:rPr>
                <w:noProof/>
                <w:webHidden/>
              </w:rPr>
              <w:instrText xml:space="preserve"> PAGEREF _Toc39138141 \h </w:instrText>
            </w:r>
            <w:r w:rsidR="00F12CE9">
              <w:rPr>
                <w:noProof/>
                <w:webHidden/>
              </w:rPr>
            </w:r>
            <w:r w:rsidR="00F12CE9">
              <w:rPr>
                <w:noProof/>
                <w:webHidden/>
              </w:rPr>
              <w:fldChar w:fldCharType="separate"/>
            </w:r>
            <w:r w:rsidR="00F12CE9">
              <w:rPr>
                <w:noProof/>
                <w:webHidden/>
              </w:rPr>
              <w:t>14</w:t>
            </w:r>
            <w:r w:rsidR="00F12CE9">
              <w:rPr>
                <w:noProof/>
                <w:webHidden/>
              </w:rPr>
              <w:fldChar w:fldCharType="end"/>
            </w:r>
          </w:hyperlink>
        </w:p>
        <w:p w14:paraId="670731B9" w14:textId="77777777" w:rsidR="00F12CE9" w:rsidRDefault="001F3BDE" w:rsidP="009229E8">
          <w:pPr>
            <w:pStyle w:val="TOC1"/>
            <w:tabs>
              <w:tab w:val="right" w:leader="dot" w:pos="9350"/>
            </w:tabs>
            <w:spacing w:after="0"/>
            <w:rPr>
              <w:rFonts w:eastAsiaTheme="minorEastAsia"/>
              <w:noProof/>
              <w:sz w:val="22"/>
              <w:szCs w:val="22"/>
            </w:rPr>
          </w:pPr>
          <w:hyperlink w:anchor="_Toc39138142" w:history="1">
            <w:r w:rsidR="00F12CE9" w:rsidRPr="007B4B32">
              <w:rPr>
                <w:rStyle w:val="Hyperlink"/>
                <w:noProof/>
              </w:rPr>
              <w:t>Sample size justification</w:t>
            </w:r>
            <w:r w:rsidR="00F12CE9">
              <w:rPr>
                <w:noProof/>
                <w:webHidden/>
              </w:rPr>
              <w:tab/>
            </w:r>
            <w:r w:rsidR="00F12CE9">
              <w:rPr>
                <w:noProof/>
                <w:webHidden/>
              </w:rPr>
              <w:fldChar w:fldCharType="begin"/>
            </w:r>
            <w:r w:rsidR="00F12CE9">
              <w:rPr>
                <w:noProof/>
                <w:webHidden/>
              </w:rPr>
              <w:instrText xml:space="preserve"> PAGEREF _Toc39138142 \h </w:instrText>
            </w:r>
            <w:r w:rsidR="00F12CE9">
              <w:rPr>
                <w:noProof/>
                <w:webHidden/>
              </w:rPr>
            </w:r>
            <w:r w:rsidR="00F12CE9">
              <w:rPr>
                <w:noProof/>
                <w:webHidden/>
              </w:rPr>
              <w:fldChar w:fldCharType="separate"/>
            </w:r>
            <w:r w:rsidR="00F12CE9">
              <w:rPr>
                <w:noProof/>
                <w:webHidden/>
              </w:rPr>
              <w:t>14</w:t>
            </w:r>
            <w:r w:rsidR="00F12CE9">
              <w:rPr>
                <w:noProof/>
                <w:webHidden/>
              </w:rPr>
              <w:fldChar w:fldCharType="end"/>
            </w:r>
          </w:hyperlink>
        </w:p>
        <w:p w14:paraId="670731BA" w14:textId="77777777" w:rsidR="00F12CE9" w:rsidRDefault="001F3BDE" w:rsidP="009229E8">
          <w:pPr>
            <w:pStyle w:val="TOC1"/>
            <w:tabs>
              <w:tab w:val="right" w:leader="dot" w:pos="9350"/>
            </w:tabs>
            <w:spacing w:after="0"/>
            <w:rPr>
              <w:rFonts w:eastAsiaTheme="minorEastAsia"/>
              <w:noProof/>
              <w:sz w:val="22"/>
              <w:szCs w:val="22"/>
            </w:rPr>
          </w:pPr>
          <w:hyperlink w:anchor="_Toc39138143" w:history="1">
            <w:r w:rsidR="00F12CE9" w:rsidRPr="007B4B32">
              <w:rPr>
                <w:rStyle w:val="Hyperlink"/>
                <w:noProof/>
              </w:rPr>
              <w:t>Budget justification</w:t>
            </w:r>
            <w:r w:rsidR="00F12CE9">
              <w:rPr>
                <w:noProof/>
                <w:webHidden/>
              </w:rPr>
              <w:tab/>
            </w:r>
            <w:r w:rsidR="00F12CE9">
              <w:rPr>
                <w:noProof/>
                <w:webHidden/>
              </w:rPr>
              <w:fldChar w:fldCharType="begin"/>
            </w:r>
            <w:r w:rsidR="00F12CE9">
              <w:rPr>
                <w:noProof/>
                <w:webHidden/>
              </w:rPr>
              <w:instrText xml:space="preserve"> PAGEREF _Toc39138143 \h </w:instrText>
            </w:r>
            <w:r w:rsidR="00F12CE9">
              <w:rPr>
                <w:noProof/>
                <w:webHidden/>
              </w:rPr>
            </w:r>
            <w:r w:rsidR="00F12CE9">
              <w:rPr>
                <w:noProof/>
                <w:webHidden/>
              </w:rPr>
              <w:fldChar w:fldCharType="separate"/>
            </w:r>
            <w:r w:rsidR="00F12CE9">
              <w:rPr>
                <w:noProof/>
                <w:webHidden/>
              </w:rPr>
              <w:t>15</w:t>
            </w:r>
            <w:r w:rsidR="00F12CE9">
              <w:rPr>
                <w:noProof/>
                <w:webHidden/>
              </w:rPr>
              <w:fldChar w:fldCharType="end"/>
            </w:r>
          </w:hyperlink>
        </w:p>
        <w:p w14:paraId="670731BB" w14:textId="77777777" w:rsidR="00F12CE9" w:rsidRDefault="001F3BDE" w:rsidP="009229E8">
          <w:pPr>
            <w:pStyle w:val="TOC1"/>
            <w:tabs>
              <w:tab w:val="right" w:leader="dot" w:pos="9350"/>
            </w:tabs>
            <w:spacing w:after="0"/>
            <w:rPr>
              <w:rFonts w:eastAsiaTheme="minorEastAsia"/>
              <w:noProof/>
              <w:sz w:val="22"/>
              <w:szCs w:val="22"/>
            </w:rPr>
          </w:pPr>
          <w:hyperlink w:anchor="_Toc39138144" w:history="1">
            <w:r w:rsidR="00F12CE9" w:rsidRPr="007B4B32">
              <w:rPr>
                <w:rStyle w:val="Hyperlink"/>
                <w:noProof/>
              </w:rPr>
              <w:t>Facilities, equipment, and other resources</w:t>
            </w:r>
            <w:r w:rsidR="00F12CE9">
              <w:rPr>
                <w:noProof/>
                <w:webHidden/>
              </w:rPr>
              <w:tab/>
            </w:r>
            <w:r w:rsidR="00F12CE9">
              <w:rPr>
                <w:noProof/>
                <w:webHidden/>
              </w:rPr>
              <w:fldChar w:fldCharType="begin"/>
            </w:r>
            <w:r w:rsidR="00F12CE9">
              <w:rPr>
                <w:noProof/>
                <w:webHidden/>
              </w:rPr>
              <w:instrText xml:space="preserve"> PAGEREF _Toc39138144 \h </w:instrText>
            </w:r>
            <w:r w:rsidR="00F12CE9">
              <w:rPr>
                <w:noProof/>
                <w:webHidden/>
              </w:rPr>
            </w:r>
            <w:r w:rsidR="00F12CE9">
              <w:rPr>
                <w:noProof/>
                <w:webHidden/>
              </w:rPr>
              <w:fldChar w:fldCharType="separate"/>
            </w:r>
            <w:r w:rsidR="00F12CE9">
              <w:rPr>
                <w:noProof/>
                <w:webHidden/>
              </w:rPr>
              <w:t>16</w:t>
            </w:r>
            <w:r w:rsidR="00F12CE9">
              <w:rPr>
                <w:noProof/>
                <w:webHidden/>
              </w:rPr>
              <w:fldChar w:fldCharType="end"/>
            </w:r>
          </w:hyperlink>
        </w:p>
        <w:p w14:paraId="670731BC" w14:textId="77777777" w:rsidR="00F12CE9" w:rsidRDefault="001F3BDE" w:rsidP="009229E8">
          <w:pPr>
            <w:pStyle w:val="TOC1"/>
            <w:tabs>
              <w:tab w:val="right" w:leader="dot" w:pos="9350"/>
            </w:tabs>
            <w:spacing w:after="0"/>
            <w:rPr>
              <w:rFonts w:eastAsiaTheme="minorEastAsia"/>
              <w:noProof/>
              <w:sz w:val="22"/>
              <w:szCs w:val="22"/>
            </w:rPr>
          </w:pPr>
          <w:hyperlink w:anchor="_Toc39138145" w:history="1">
            <w:r w:rsidR="00F12CE9" w:rsidRPr="007B4B32">
              <w:rPr>
                <w:rStyle w:val="Hyperlink"/>
                <w:noProof/>
              </w:rPr>
              <w:t>Data management plan</w:t>
            </w:r>
            <w:r w:rsidR="00F12CE9">
              <w:rPr>
                <w:noProof/>
                <w:webHidden/>
              </w:rPr>
              <w:tab/>
            </w:r>
            <w:r w:rsidR="00F12CE9">
              <w:rPr>
                <w:noProof/>
                <w:webHidden/>
              </w:rPr>
              <w:fldChar w:fldCharType="begin"/>
            </w:r>
            <w:r w:rsidR="00F12CE9">
              <w:rPr>
                <w:noProof/>
                <w:webHidden/>
              </w:rPr>
              <w:instrText xml:space="preserve"> PAGEREF _Toc39138145 \h </w:instrText>
            </w:r>
            <w:r w:rsidR="00F12CE9">
              <w:rPr>
                <w:noProof/>
                <w:webHidden/>
              </w:rPr>
            </w:r>
            <w:r w:rsidR="00F12CE9">
              <w:rPr>
                <w:noProof/>
                <w:webHidden/>
              </w:rPr>
              <w:fldChar w:fldCharType="separate"/>
            </w:r>
            <w:r w:rsidR="00F12CE9">
              <w:rPr>
                <w:noProof/>
                <w:webHidden/>
              </w:rPr>
              <w:t>16</w:t>
            </w:r>
            <w:r w:rsidR="00F12CE9">
              <w:rPr>
                <w:noProof/>
                <w:webHidden/>
              </w:rPr>
              <w:fldChar w:fldCharType="end"/>
            </w:r>
          </w:hyperlink>
        </w:p>
        <w:p w14:paraId="670731BD" w14:textId="77777777" w:rsidR="00F12CE9" w:rsidRDefault="001F3BDE" w:rsidP="009229E8">
          <w:pPr>
            <w:pStyle w:val="TOC1"/>
            <w:tabs>
              <w:tab w:val="right" w:leader="dot" w:pos="9350"/>
            </w:tabs>
            <w:spacing w:after="0"/>
            <w:rPr>
              <w:rFonts w:eastAsiaTheme="minorEastAsia"/>
              <w:noProof/>
              <w:sz w:val="22"/>
              <w:szCs w:val="22"/>
            </w:rPr>
          </w:pPr>
          <w:hyperlink w:anchor="_Toc39138146" w:history="1">
            <w:r w:rsidR="00F12CE9" w:rsidRPr="007B4B32">
              <w:rPr>
                <w:rStyle w:val="Hyperlink"/>
                <w:noProof/>
              </w:rPr>
              <w:t>Figures</w:t>
            </w:r>
            <w:r w:rsidR="00F12CE9">
              <w:rPr>
                <w:noProof/>
                <w:webHidden/>
              </w:rPr>
              <w:tab/>
            </w:r>
            <w:r w:rsidR="00F12CE9">
              <w:rPr>
                <w:noProof/>
                <w:webHidden/>
              </w:rPr>
              <w:fldChar w:fldCharType="begin"/>
            </w:r>
            <w:r w:rsidR="00F12CE9">
              <w:rPr>
                <w:noProof/>
                <w:webHidden/>
              </w:rPr>
              <w:instrText xml:space="preserve"> PAGEREF _Toc39138146 \h </w:instrText>
            </w:r>
            <w:r w:rsidR="00F12CE9">
              <w:rPr>
                <w:noProof/>
                <w:webHidden/>
              </w:rPr>
            </w:r>
            <w:r w:rsidR="00F12CE9">
              <w:rPr>
                <w:noProof/>
                <w:webHidden/>
              </w:rPr>
              <w:fldChar w:fldCharType="separate"/>
            </w:r>
            <w:r w:rsidR="00F12CE9">
              <w:rPr>
                <w:noProof/>
                <w:webHidden/>
              </w:rPr>
              <w:t>17</w:t>
            </w:r>
            <w:r w:rsidR="00F12CE9">
              <w:rPr>
                <w:noProof/>
                <w:webHidden/>
              </w:rPr>
              <w:fldChar w:fldCharType="end"/>
            </w:r>
          </w:hyperlink>
        </w:p>
        <w:p w14:paraId="670731BE" w14:textId="77777777" w:rsidR="00F12CE9" w:rsidRDefault="001F3BDE" w:rsidP="009229E8">
          <w:pPr>
            <w:pStyle w:val="TOC1"/>
            <w:tabs>
              <w:tab w:val="right" w:leader="dot" w:pos="9350"/>
            </w:tabs>
            <w:spacing w:after="0"/>
            <w:rPr>
              <w:rFonts w:eastAsiaTheme="minorEastAsia"/>
              <w:noProof/>
              <w:sz w:val="22"/>
              <w:szCs w:val="22"/>
            </w:rPr>
          </w:pPr>
          <w:hyperlink w:anchor="_Toc39138147" w:history="1">
            <w:r w:rsidR="00F12CE9" w:rsidRPr="007B4B32">
              <w:rPr>
                <w:rStyle w:val="Hyperlink"/>
                <w:noProof/>
              </w:rPr>
              <w:t>References</w:t>
            </w:r>
            <w:r w:rsidR="00F12CE9">
              <w:rPr>
                <w:noProof/>
                <w:webHidden/>
              </w:rPr>
              <w:tab/>
            </w:r>
            <w:r w:rsidR="00F12CE9">
              <w:rPr>
                <w:noProof/>
                <w:webHidden/>
              </w:rPr>
              <w:fldChar w:fldCharType="begin"/>
            </w:r>
            <w:r w:rsidR="00F12CE9">
              <w:rPr>
                <w:noProof/>
                <w:webHidden/>
              </w:rPr>
              <w:instrText xml:space="preserve"> PAGEREF _Toc39138147 \h </w:instrText>
            </w:r>
            <w:r w:rsidR="00F12CE9">
              <w:rPr>
                <w:noProof/>
                <w:webHidden/>
              </w:rPr>
            </w:r>
            <w:r w:rsidR="00F12CE9">
              <w:rPr>
                <w:noProof/>
                <w:webHidden/>
              </w:rPr>
              <w:fldChar w:fldCharType="separate"/>
            </w:r>
            <w:r w:rsidR="00F12CE9">
              <w:rPr>
                <w:noProof/>
                <w:webHidden/>
              </w:rPr>
              <w:t>18</w:t>
            </w:r>
            <w:r w:rsidR="00F12CE9">
              <w:rPr>
                <w:noProof/>
                <w:webHidden/>
              </w:rPr>
              <w:fldChar w:fldCharType="end"/>
            </w:r>
          </w:hyperlink>
        </w:p>
        <w:p w14:paraId="670731BF" w14:textId="77777777" w:rsidR="006A01C6" w:rsidRDefault="00EC3EE3" w:rsidP="009229E8">
          <w:pPr>
            <w:spacing w:after="0"/>
          </w:pPr>
          <w:r>
            <w:fldChar w:fldCharType="end"/>
          </w:r>
        </w:p>
      </w:sdtContent>
    </w:sdt>
    <w:p w14:paraId="670731C0" w14:textId="77777777" w:rsidR="006A01C6" w:rsidRPr="00E045E6" w:rsidRDefault="00EC3EE3" w:rsidP="009229E8">
      <w:pPr>
        <w:pStyle w:val="Heading1"/>
        <w:spacing w:before="0"/>
      </w:pPr>
      <w:bookmarkStart w:id="0" w:name="project-summary"/>
      <w:bookmarkStart w:id="1" w:name="_Toc39138126"/>
      <w:r w:rsidRPr="00E045E6">
        <w:t>Project summary</w:t>
      </w:r>
      <w:bookmarkEnd w:id="0"/>
      <w:bookmarkEnd w:id="1"/>
    </w:p>
    <w:p w14:paraId="670731C1" w14:textId="77777777" w:rsidR="006A01C6" w:rsidRPr="00E045E6" w:rsidRDefault="00EC3EE3" w:rsidP="005A418F">
      <w:pPr>
        <w:pStyle w:val="Heading2"/>
      </w:pPr>
      <w:bookmarkStart w:id="2" w:name="overview"/>
      <w:bookmarkStart w:id="3" w:name="_Toc39138127"/>
      <w:r w:rsidRPr="00E045E6">
        <w:t>Overview</w:t>
      </w:r>
      <w:bookmarkEnd w:id="2"/>
      <w:bookmarkEnd w:id="3"/>
    </w:p>
    <w:p w14:paraId="670731C2" w14:textId="77777777" w:rsidR="006A01C6" w:rsidRDefault="00EC3EE3" w:rsidP="005A418F">
      <w:pPr>
        <w:pStyle w:val="FirstParagraph"/>
        <w:spacing w:before="0" w:after="240"/>
      </w:pPr>
      <w:r w:rsidRPr="00FB6566">
        <w:t>Competitions are becoming an increasingly prevalent part of the global economy (</w:t>
      </w:r>
      <w:proofErr w:type="spellStart"/>
      <w:r w:rsidRPr="00FB6566">
        <w:t>Lavy</w:t>
      </w:r>
      <w:proofErr w:type="spellEnd"/>
      <w:r w:rsidRPr="00FB6566">
        <w:t>, 2004; Lemieux et al., 2009) and the winners of competitions in the labor market are disproportionately rewarded for their efforts (Frank &amp; Cook, 2010). Therefore, understanding individual differences in response to competitive situations is crucial for addressing economic disparities across groups, like persistent gender differences in labor market outcomes (</w:t>
      </w:r>
      <w:proofErr w:type="spellStart"/>
      <w:r w:rsidRPr="00FB6566">
        <w:t>Altonji</w:t>
      </w:r>
      <w:proofErr w:type="spellEnd"/>
      <w:r w:rsidRPr="00FB6566">
        <w:t xml:space="preserve"> &amp; Blank, 1999; </w:t>
      </w:r>
      <w:proofErr w:type="spellStart"/>
      <w:r w:rsidRPr="00FB6566">
        <w:t>Blau</w:t>
      </w:r>
      <w:proofErr w:type="spellEnd"/>
      <w:r w:rsidRPr="00FB6566">
        <w:t xml:space="preserve"> &amp; Kahn, 2017). For instance, competitions may elicit gender differences in effort exerted (e.g., preparing or studying) before entry. Since effort is a crucial determinant of one’s achievement-related choices (Barron &amp; </w:t>
      </w:r>
      <w:proofErr w:type="spellStart"/>
      <w:r w:rsidRPr="00FB6566">
        <w:t>Hulleman</w:t>
      </w:r>
      <w:proofErr w:type="spellEnd"/>
      <w:r w:rsidRPr="00FB6566">
        <w:t xml:space="preserve">, 2015), identifying gender differences in effort before a competition will improve our understanding of the factors that drive women’s decisions to enter or stay in competitive environments. Our current work fills a crucial gap in the literature on gender differences in response to competition by examining how much effort women choose to expend before feeling comfortable entering a competition. Study 1 will manipulate the payment scheme (competitive or non-competitive) for a multiplication task to examine its effect on participants’ choice to expend effort beforehand (operationalized as the choice to spend extra time preparing). We hypothesize that women will spend more time preparing relative to men, especially before following a competitive payment scheme. On top of the anticipated main effect of gender and interaction effect between gender and condition, we expect a main effect of condition, where participants assigned to the competitive payment </w:t>
      </w:r>
      <w:r w:rsidRPr="00FB6566">
        <w:lastRenderedPageBreak/>
        <w:t>scheme will be more likely to prepare on average. We will explore the boundary conditions of the findings from Study 1 by manipulating beliefs about gender differences in performance on the task in Study 2. For Study 2, we expect women will spend significantly more time preparing for a male-typed task, but the gender difference in preparation will be reduced or eliminated when the task is female-typed. We also expect to replicate the effect of gender on time spent preparing</w:t>
      </w:r>
      <w:r>
        <w:t>.</w:t>
      </w:r>
    </w:p>
    <w:p w14:paraId="670731C3" w14:textId="77777777" w:rsidR="006A01C6" w:rsidRDefault="00EC3EE3" w:rsidP="005A418F">
      <w:pPr>
        <w:pStyle w:val="Heading2"/>
      </w:pPr>
      <w:bookmarkStart w:id="4" w:name="intellectual-merit"/>
      <w:bookmarkStart w:id="5" w:name="_Toc39138128"/>
      <w:r w:rsidRPr="005A418F">
        <w:t>Intellectual</w:t>
      </w:r>
      <w:r>
        <w:t xml:space="preserve"> merit</w:t>
      </w:r>
      <w:bookmarkEnd w:id="4"/>
      <w:bookmarkEnd w:id="5"/>
    </w:p>
    <w:p w14:paraId="670731C4" w14:textId="77777777" w:rsidR="006A01C6" w:rsidRDefault="00EC3EE3" w:rsidP="005A418F">
      <w:pPr>
        <w:pStyle w:val="FirstParagraph"/>
        <w:spacing w:before="0" w:after="240"/>
      </w:pPr>
      <w:r>
        <w:t xml:space="preserve">Previous work has focused exclusively on the situational and psychological characteristics that drive the gender gap in the choice to enter competitive environments. By focusing on how individuals respond before entering a competitive environment, our research will provide the foundation for an entirely new line of work focused on when and why gender differences in the choice to prepare before a competition arise, along with the possible economic effects of these differences. Additionally, Study 2 will allow us to test the boundary conditions of the effect by employing a new task and manipulating beliefs about gender differences in performance on the task, while simultaneously helping us understand possible mechanisms for gender differences in the choice to prepare. Given the wealth of research examining the relationship between gender and competition (see </w:t>
      </w:r>
      <w:proofErr w:type="spellStart"/>
      <w:r>
        <w:t>Niederle</w:t>
      </w:r>
      <w:proofErr w:type="spellEnd"/>
      <w:r>
        <w:t xml:space="preserve"> &amp; </w:t>
      </w:r>
      <w:proofErr w:type="spellStart"/>
      <w:r>
        <w:t>Vesterlund</w:t>
      </w:r>
      <w:proofErr w:type="spellEnd"/>
      <w:r>
        <w:t>, 2011 for review), this topic is clearly relevant to research across several disciplines. As such, our novel question within the realm of gender and competition will likely set the stage for researchers across disciplines (e.g., economics, psychology, education) to answer fruitful follow-up questions (see Future Directions section). Since Dr. </w:t>
      </w:r>
      <w:proofErr w:type="spellStart"/>
      <w:r>
        <w:t>Apicella</w:t>
      </w:r>
      <w:proofErr w:type="spellEnd"/>
      <w:r>
        <w:t xml:space="preserve"> and Keana Richards are dedicated to open-science practices, they will publish all pre-registrations, reproducible </w:t>
      </w:r>
      <w:r>
        <w:rPr>
          <w:i/>
        </w:rPr>
        <w:t>R</w:t>
      </w:r>
      <w:r>
        <w:t xml:space="preserve"> code, and surveys on the Open Science Framework to facilitate future research related to the proposed studies.</w:t>
      </w:r>
    </w:p>
    <w:p w14:paraId="670731C5" w14:textId="77777777" w:rsidR="006A01C6" w:rsidRDefault="00EC3EE3" w:rsidP="005A418F">
      <w:pPr>
        <w:pStyle w:val="Heading2"/>
      </w:pPr>
      <w:bookmarkStart w:id="6" w:name="broader-impacts"/>
      <w:bookmarkStart w:id="7" w:name="_Toc39138129"/>
      <w:r>
        <w:t>Broader impacts</w:t>
      </w:r>
      <w:bookmarkEnd w:id="6"/>
      <w:bookmarkEnd w:id="7"/>
    </w:p>
    <w:p w14:paraId="670731C6" w14:textId="77777777" w:rsidR="006A01C6" w:rsidRDefault="00EC3EE3" w:rsidP="009229E8">
      <w:pPr>
        <w:pStyle w:val="FirstParagraph"/>
        <w:spacing w:before="0" w:after="0"/>
      </w:pPr>
      <w:r>
        <w:t>If women are preparing more than necessary, this can have a negative effect on their health, economic outcomes, and career advancement. For instance, women may expend extra effort before a competition at the expense of work-life balance, even if the effort only marginally increases their likelihood of success. Additionally, there are opportunity costs for expending more effort than necessary on a task, which are amplified in competitive environments where an individual’s overall performance is evaluated based on their success across many domains. Within academia, researchers are required to balance many skills to be eligible to earn tenure. If any researcher focuses too much of their attention on one skill/activity (e.g., serving on the faculty senate), this imposes direct costs on their growth in other skills/activities (e.g., conducting research), which will ultimately reduce their likelihood of success. Thus, if high-ability women expend more effort than necessary on one task because they (wrongly) believe they will perform worse, this may directly impose on their other commitments, hurting overall performance and reducing their likelihood of “winning” in these types of tournaments. It would be important for women’s professional development to be aware of the dangers of overpreparation and try to realistically assess whether they are expending more effort than necessary on a task that does not substantially advance their career. These dangers are especially important for professional development in STEM fields, where gender disparities are arguably driven by gender differences in confidence, which increases the likelihood women will overprepare before competition (</w:t>
      </w:r>
      <w:proofErr w:type="spellStart"/>
      <w:r>
        <w:t>Cheryan</w:t>
      </w:r>
      <w:proofErr w:type="spellEnd"/>
      <w:r>
        <w:t xml:space="preserve"> et al., 2017).</w:t>
      </w:r>
    </w:p>
    <w:p w14:paraId="670731C7" w14:textId="77777777" w:rsidR="006A01C6" w:rsidRPr="00AA2DAE" w:rsidRDefault="00EC3EE3" w:rsidP="009229E8">
      <w:pPr>
        <w:pStyle w:val="BodyText"/>
        <w:spacing w:before="0" w:after="0"/>
      </w:pPr>
      <w:r w:rsidRPr="00AA2DAE">
        <w:t xml:space="preserve">Additionally, gender differences in effort before entry into competitions would have important implications for many of the </w:t>
      </w:r>
      <w:proofErr w:type="gramStart"/>
      <w:r w:rsidRPr="00AA2DAE">
        <w:t>competitions</w:t>
      </w:r>
      <w:proofErr w:type="gramEnd"/>
      <w:r w:rsidRPr="00AA2DAE">
        <w:t xml:space="preserve"> we observe in the modern labor market, where small differences in effort and/or ability can lead to massive disparities in economic outcomes. For instance, best-selling authors can earn upwards of $10 million per book, but best-seller slots are limited, so there are many authors of similar caliber whose earnings barely cover basic necessities (Frank &amp; Cook, 2010). Similarly, a professional athlete that wins a major tournament like the Wimbledon can earn upwards of $2.9 million, while a semifinalist earns just above $750 thousand (Frank &amp; Cook, 2010). Thus, understanding gender </w:t>
      </w:r>
      <w:r w:rsidRPr="00AA2DAE">
        <w:lastRenderedPageBreak/>
        <w:t>differences in the choice to expend effort before competitions may be one avenue to explain persistent gender gaps in economic outcomes.</w:t>
      </w:r>
    </w:p>
    <w:p w14:paraId="670731C8" w14:textId="77777777" w:rsidR="006A01C6" w:rsidRDefault="00EC3EE3" w:rsidP="009229E8">
      <w:pPr>
        <w:pStyle w:val="Heading1"/>
        <w:spacing w:before="0"/>
      </w:pPr>
      <w:bookmarkStart w:id="8" w:name="project-description"/>
      <w:bookmarkStart w:id="9" w:name="_Toc39138130"/>
      <w:r>
        <w:t>Project description</w:t>
      </w:r>
      <w:bookmarkEnd w:id="8"/>
      <w:bookmarkEnd w:id="9"/>
    </w:p>
    <w:p w14:paraId="670731C9" w14:textId="77777777" w:rsidR="006A01C6" w:rsidRDefault="00EC3EE3" w:rsidP="005A418F">
      <w:pPr>
        <w:pStyle w:val="Heading2"/>
      </w:pPr>
      <w:bookmarkStart w:id="10" w:name="introduction"/>
      <w:bookmarkStart w:id="11" w:name="_Toc39138131"/>
      <w:r>
        <w:t>Introduction</w:t>
      </w:r>
      <w:bookmarkEnd w:id="10"/>
      <w:bookmarkEnd w:id="11"/>
    </w:p>
    <w:p w14:paraId="670731CA" w14:textId="77777777" w:rsidR="006A01C6" w:rsidRPr="007D19DD" w:rsidRDefault="00EC3EE3" w:rsidP="007D19DD">
      <w:pPr>
        <w:pStyle w:val="Heading3"/>
      </w:pPr>
      <w:bookmarkStart w:id="12" w:name="X14934884ef96585159583720b69655d23322edd"/>
      <w:bookmarkStart w:id="13" w:name="_Toc39138132"/>
      <w:r w:rsidRPr="007D19DD">
        <w:t>Prevalence of competition in the modern labor market</w:t>
      </w:r>
      <w:bookmarkEnd w:id="12"/>
      <w:bookmarkEnd w:id="13"/>
    </w:p>
    <w:p w14:paraId="670731CB" w14:textId="77777777" w:rsidR="006A01C6" w:rsidRDefault="00EC3EE3" w:rsidP="009229E8">
      <w:pPr>
        <w:pStyle w:val="FirstParagraph"/>
        <w:spacing w:before="0" w:after="0"/>
      </w:pPr>
      <w:r>
        <w:t>Competition is becoming increasingly prevalent across labor markets internationally (</w:t>
      </w:r>
      <w:proofErr w:type="spellStart"/>
      <w:r>
        <w:t>Lavy</w:t>
      </w:r>
      <w:proofErr w:type="spellEnd"/>
      <w:r>
        <w:t>, 2004; Lemieux et al., 2009), which has been attributed in part to technological advances and globalization (</w:t>
      </w:r>
      <w:proofErr w:type="spellStart"/>
      <w:r>
        <w:t>Cuñat</w:t>
      </w:r>
      <w:proofErr w:type="spellEnd"/>
      <w:r>
        <w:t xml:space="preserve"> &amp; Guadalupe, 2005; Lemieux et al., 2009). To demonstrate, the following titles involve some form of competition: “best-seller, world cup champion, Harvard matriculant, Rhodes scholar, first-round draft pick, clerk to a supreme court justice, cover girl, prime minister, host state for the first Mercedes plant in the US, French open champion” (Frank &amp; Cook, 2010). As competition increases, compensation packages based on performance pay (including bonuses, piece-rate, and commission) have become more popular compared to hourly/salaried pay, especially among the higher tiers of an organization (Hall &amp; Liebman, 1998; Murphy, 1999). There is evidence that this increase in the use of performance pay lends itself to wage inequality. For instance, Lemieux et al. (2009) show that an increased dependence on performance pay during the late 1970’s (1976-1979) and early 1990’s (1990-1993) accounted for 21% of the observed growth in variance of male wages. Bonuses and commissions, arguably the most competitive compensation schemes, have been especially important in driving the large disparity between the highest and lowest percentile earners within an organization (Bell &amp; Van Reenen, 2010, 2014; </w:t>
      </w:r>
      <w:proofErr w:type="spellStart"/>
      <w:r>
        <w:t>Bénabou</w:t>
      </w:r>
      <w:proofErr w:type="spellEnd"/>
      <w:r>
        <w:t xml:space="preserve"> &amp; </w:t>
      </w:r>
      <w:proofErr w:type="spellStart"/>
      <w:r>
        <w:t>Tirole</w:t>
      </w:r>
      <w:proofErr w:type="spellEnd"/>
      <w:r>
        <w:t>, 2016).</w:t>
      </w:r>
    </w:p>
    <w:p w14:paraId="670731CC" w14:textId="77777777" w:rsidR="006A01C6" w:rsidRDefault="00EC3EE3" w:rsidP="007D19DD">
      <w:pPr>
        <w:pStyle w:val="Heading3"/>
      </w:pPr>
      <w:bookmarkStart w:id="14" w:name="competition-and-gender"/>
      <w:bookmarkStart w:id="15" w:name="_Toc39138133"/>
      <w:r>
        <w:t>Competition and gender</w:t>
      </w:r>
      <w:bookmarkEnd w:id="14"/>
      <w:bookmarkEnd w:id="15"/>
    </w:p>
    <w:p w14:paraId="670731CD" w14:textId="77777777" w:rsidR="006A01C6" w:rsidRDefault="00EC3EE3" w:rsidP="009229E8">
      <w:pPr>
        <w:pStyle w:val="FirstParagraph"/>
        <w:spacing w:before="0" w:after="0"/>
      </w:pPr>
      <w:r>
        <w:t>There is evidence suggesting the prevalence of performance pay across labor markets contributes to the gender wage gap. Using data from the National Longitudinal Surveys of Youth in 1979 and 1997, McGee et al. (2015) show that women are less likely to be employed in occupations that receive the most competitive form of performance pay (i.e., bonuses) and simultaneously more likely to receive piece-rate pay, arguably the least competitive form of performance pay.</w:t>
      </w:r>
    </w:p>
    <w:p w14:paraId="670731CE" w14:textId="77777777" w:rsidR="006A01C6" w:rsidRPr="00F12CE9" w:rsidRDefault="00EC3EE3" w:rsidP="009229E8">
      <w:pPr>
        <w:pStyle w:val="BodyText"/>
        <w:spacing w:before="0" w:after="0"/>
      </w:pPr>
      <w:r w:rsidRPr="00F12CE9">
        <w:t>Since competition has been shown to be related to labor market outcomes (</w:t>
      </w:r>
      <w:proofErr w:type="spellStart"/>
      <w:r w:rsidRPr="00F12CE9">
        <w:t>Buser</w:t>
      </w:r>
      <w:proofErr w:type="spellEnd"/>
      <w:r w:rsidRPr="00F12CE9">
        <w:t xml:space="preserve"> et al., 2014; Reuben et al., 2015; Zhang, 2012), researchers have started to focus on how a person’s gender affects their response to competition. Notably, there is evidence that women are more likely to avoid competitions and if they are required to compete, perform more poorly in tournaments and stop competing after losing, especially in mixed-sex tournaments (</w:t>
      </w:r>
      <w:proofErr w:type="spellStart"/>
      <w:r w:rsidRPr="00F12CE9">
        <w:t>Buser</w:t>
      </w:r>
      <w:proofErr w:type="spellEnd"/>
      <w:r w:rsidRPr="00F12CE9">
        <w:t xml:space="preserve"> &amp; Yuan, 2019; Gill &amp; Prowse, 2014; </w:t>
      </w:r>
      <w:proofErr w:type="spellStart"/>
      <w:r w:rsidRPr="00F12CE9">
        <w:t>Niederle</w:t>
      </w:r>
      <w:proofErr w:type="spellEnd"/>
      <w:r w:rsidRPr="00F12CE9">
        <w:t xml:space="preserve"> &amp; </w:t>
      </w:r>
      <w:proofErr w:type="spellStart"/>
      <w:r w:rsidRPr="00F12CE9">
        <w:t>Vesterlund</w:t>
      </w:r>
      <w:proofErr w:type="spellEnd"/>
      <w:r w:rsidRPr="00F12CE9">
        <w:t xml:space="preserve">, 2011). However, the effect of gender on competitiveness varies by task type, where women are far more likely to choose to enter a tournament when they are completing a verbal task compared to a math task (Grosse &amp; </w:t>
      </w:r>
      <w:proofErr w:type="spellStart"/>
      <w:r w:rsidRPr="00F12CE9">
        <w:t>Riener</w:t>
      </w:r>
      <w:proofErr w:type="spellEnd"/>
      <w:r w:rsidRPr="00F12CE9">
        <w:t>, 2010), suggesting an important boundary condition of the effect (see Study 2) driven by stereotypes about ability.</w:t>
      </w:r>
    </w:p>
    <w:p w14:paraId="670731CF" w14:textId="77777777" w:rsidR="006A01C6" w:rsidRDefault="00EC3EE3" w:rsidP="007D19DD">
      <w:pPr>
        <w:pStyle w:val="Heading3"/>
      </w:pPr>
      <w:bookmarkStart w:id="16" w:name="womens-effort-before-competition"/>
      <w:bookmarkStart w:id="17" w:name="_Toc39138134"/>
      <w:r>
        <w:t>Women’s effort before competition</w:t>
      </w:r>
      <w:bookmarkEnd w:id="16"/>
      <w:bookmarkEnd w:id="17"/>
    </w:p>
    <w:p w14:paraId="670731D0" w14:textId="77777777" w:rsidR="006A01C6" w:rsidRDefault="00EC3EE3" w:rsidP="009229E8">
      <w:pPr>
        <w:pStyle w:val="FirstParagraph"/>
        <w:spacing w:before="0" w:after="0"/>
      </w:pPr>
      <w:r>
        <w:t xml:space="preserve">Competitive environments are inherently more risky than non-competitive environments and may reduce one’s confidence by drawing attention to their relative performance. To cope with these negative feelings, people may engage in several self-regulatory behaviors before and while performing in competitive environments. For instance, they may exert more effort before the competition and try to master relevant skills, which is one of the most important drivers of confidence (for review, see Gist &amp; Mitchell, 1992; Usher &amp; </w:t>
      </w:r>
      <w:proofErr w:type="spellStart"/>
      <w:r>
        <w:t>Pajares</w:t>
      </w:r>
      <w:proofErr w:type="spellEnd"/>
      <w:r>
        <w:t>, 2008). Since women tend to be more risk-averse and less confident to begin with (</w:t>
      </w:r>
      <w:proofErr w:type="spellStart"/>
      <w:r>
        <w:t>Lenney</w:t>
      </w:r>
      <w:proofErr w:type="spellEnd"/>
      <w:r>
        <w:t xml:space="preserve">, 1977; Maccoby &amp; Jacklin, 1974; </w:t>
      </w:r>
      <w:proofErr w:type="spellStart"/>
      <w:r>
        <w:t>Niederle</w:t>
      </w:r>
      <w:proofErr w:type="spellEnd"/>
      <w:r>
        <w:t xml:space="preserve">, 2014; </w:t>
      </w:r>
      <w:proofErr w:type="spellStart"/>
      <w:r>
        <w:t>Niederle</w:t>
      </w:r>
      <w:proofErr w:type="spellEnd"/>
      <w:r>
        <w:t xml:space="preserve"> &amp; </w:t>
      </w:r>
      <w:proofErr w:type="spellStart"/>
      <w:r>
        <w:t>Vesterlund</w:t>
      </w:r>
      <w:proofErr w:type="spellEnd"/>
      <w:r>
        <w:t>, 2011), they may respond more negatively to competitive environments than men and as a result, engage in more coping strategies, like preparing more before entering the competition.</w:t>
      </w:r>
    </w:p>
    <w:p w14:paraId="670731D1" w14:textId="77777777" w:rsidR="006A01C6" w:rsidRDefault="00EC3EE3" w:rsidP="009229E8">
      <w:pPr>
        <w:pStyle w:val="BodyText"/>
        <w:spacing w:before="0" w:after="0"/>
      </w:pPr>
      <w:r>
        <w:t xml:space="preserve">There is evidence suggesting that women value effort and dedication more and spend more time preparing in general than men (Hirt &amp; </w:t>
      </w:r>
      <w:proofErr w:type="spellStart"/>
      <w:r>
        <w:t>Mccrea</w:t>
      </w:r>
      <w:proofErr w:type="spellEnd"/>
      <w:r>
        <w:t xml:space="preserve">, 2009; Kenney-Benson et al., 2006; Kimble &amp; Hirt, 2005; Leslie et al., 2015; Lucas &amp; </w:t>
      </w:r>
      <w:proofErr w:type="spellStart"/>
      <w:r>
        <w:t>Lovaglia</w:t>
      </w:r>
      <w:proofErr w:type="spellEnd"/>
      <w:r>
        <w:t xml:space="preserve">, 2005; </w:t>
      </w:r>
      <w:proofErr w:type="spellStart"/>
      <w:r>
        <w:t>Mccrea</w:t>
      </w:r>
      <w:proofErr w:type="spellEnd"/>
      <w:r>
        <w:t xml:space="preserve"> et al., 2008). For instance, Hirt et al. (2003) find that women perceive effort as the norm and any type of effort withdrawal is unacceptable. Similarly, more feminine individuals rated the importance of studying higher compared to masculine individuals (Grabill et al., 2005). It is likely observing these gender differences in effort leads people to perceive effort as </w:t>
      </w:r>
      <w:r>
        <w:lastRenderedPageBreak/>
        <w:t>feminine, which is supported by evidence that people more readily identify a student as female when they are told the individual has exerted effort to improve their grades (Grabill et al., 2005; Power et al., 1998).</w:t>
      </w:r>
    </w:p>
    <w:p w14:paraId="670731D2" w14:textId="77777777" w:rsidR="006A01C6" w:rsidRDefault="00EC3EE3" w:rsidP="007D19DD">
      <w:pPr>
        <w:pStyle w:val="Heading3"/>
      </w:pPr>
      <w:bookmarkStart w:id="18" w:name="preliminary-data"/>
      <w:bookmarkStart w:id="19" w:name="_Toc39138135"/>
      <w:r>
        <w:t>Preliminary data</w:t>
      </w:r>
      <w:bookmarkEnd w:id="18"/>
      <w:bookmarkEnd w:id="19"/>
    </w:p>
    <w:p w14:paraId="670731D3" w14:textId="77777777" w:rsidR="006A01C6" w:rsidRDefault="00EC3EE3" w:rsidP="009229E8">
      <w:pPr>
        <w:pStyle w:val="FirstParagraph"/>
        <w:spacing w:before="0" w:after="0"/>
      </w:pPr>
      <w:r>
        <w:t>In fact, our previous work shows that women are more likely to choose to prepare before performing, even though they were less likely to compete (Richards et al., 2020). The first preliminary study in this line of work manipulated participants’ (</w:t>
      </w:r>
      <w:r>
        <w:rPr>
          <w:i/>
        </w:rPr>
        <w:t>N</w:t>
      </w:r>
      <w:r>
        <w:t xml:space="preserve"> = 1010) knowledge of whether they would have unlimited time to prepare before they made their decision to compete. We expected that participants who knew they had the chance to prepare as much as they wanted would be more inclined to compete compared to participants who were not aware of the opportunity to prepare before they made their choice in a payment scheme.</w:t>
      </w:r>
    </w:p>
    <w:p w14:paraId="670731D4" w14:textId="77777777" w:rsidR="006A01C6" w:rsidRDefault="00EC3EE3" w:rsidP="009229E8">
      <w:pPr>
        <w:pStyle w:val="BodyText"/>
        <w:spacing w:before="0" w:after="0"/>
      </w:pPr>
      <w:r>
        <w:t>While we did not find that knowledge of preparation affected participants’ decision to compete, there was a sizable gender difference in the choice to prepare, where men were 40.8% less likely to choose to prepare for a multiplication task compared to women when offered the opportunity (OR = .59; 95% CI for odds ratio [.46, .76], p &lt; .001). At the end of the experiment, participants were incentivized to state which gender they believed would be more likely to prepare. Both men (77.61%) and women (88.35%) believed that women would spend more time preparing for the task (χ</w:t>
      </w:r>
      <w:r>
        <w:rPr>
          <w:vertAlign w:val="superscript"/>
        </w:rPr>
        <w:t>2</w:t>
      </w:r>
      <w:r>
        <w:t xml:space="preserve"> = 449.78, </w:t>
      </w:r>
      <w:r>
        <w:rPr>
          <w:i/>
        </w:rPr>
        <w:t>p</w:t>
      </w:r>
      <w:r>
        <w:t xml:space="preserve"> &lt; .001), with similar results when asked which gender prepares more in general, where 85.9% of men and 92.4% of women believed women prepare more (χ</w:t>
      </w:r>
      <w:r>
        <w:rPr>
          <w:vertAlign w:val="superscript"/>
        </w:rPr>
        <w:t>2</w:t>
      </w:r>
      <w:r>
        <w:t xml:space="preserve"> = 10.38, </w:t>
      </w:r>
      <w:r>
        <w:rPr>
          <w:i/>
        </w:rPr>
        <w:t>p</w:t>
      </w:r>
      <w:r>
        <w:t xml:space="preserve"> &lt; .01). These effects hold while controlling for participants’ own decision to prepare. Therefore, data from the first preliminary study provides evidence that people accurately believe women are more likely to exert effort by choosing to prepare more often. In fact, women chose to prepare more often than men while controlling for their choice to compete (95% CI for odds ratio [1.35, 2.34], </w:t>
      </w:r>
      <w:r>
        <w:rPr>
          <w:i/>
        </w:rPr>
        <w:t>p</w:t>
      </w:r>
      <w:r>
        <w:t xml:space="preserve"> &lt; .01) (see Figure 1). Notably, there was no interaction between gender and choice to compete on the choice to prepare (</w:t>
      </w:r>
      <w:r>
        <w:rPr>
          <w:i/>
        </w:rPr>
        <w:t>p</w:t>
      </w:r>
      <w:r>
        <w:t xml:space="preserve"> = .97). Although we do not find that women who choose to compete are more likely to prepare, 1) we did not manipulate the payment scheme, so there were clear selection effects on one’s choice to prepare across payment schemes and 2) only 11% of women within the study chose to compete, so there was little power to detect any possible interaction effect. Our current proposal directly addresses these limitations by manipulating whether men and women will be subjected to competition (significantly reducing selection effects and balancing the sample to maximize power).</w:t>
      </w:r>
    </w:p>
    <w:p w14:paraId="670731D5" w14:textId="77777777" w:rsidR="006A01C6" w:rsidRDefault="00EC3EE3" w:rsidP="009229E8">
      <w:pPr>
        <w:pStyle w:val="BodyText"/>
        <w:spacing w:before="0" w:after="0"/>
      </w:pPr>
      <w:r>
        <w:t xml:space="preserve">The second preliminary study in this line of work manipulated preparation (fixed amount of preparation or no preparation) and examined how participants’ choice to compete was affected. Participants on </w:t>
      </w:r>
      <w:proofErr w:type="spellStart"/>
      <w:r>
        <w:t>MTurk</w:t>
      </w:r>
      <w:proofErr w:type="spellEnd"/>
      <w:r>
        <w:t xml:space="preserve"> (</w:t>
      </w:r>
      <w:r>
        <w:rPr>
          <w:i/>
        </w:rPr>
        <w:t>N</w:t>
      </w:r>
      <w:r>
        <w:t xml:space="preserve"> = 1026) followed identical procedures apart from the change in the manipulation. We also gave participants in both conditions the option to prepare after they made their decision to compete. Despite half of women being forced to prepare, we replicate the effect of gender on preparation, where 42% of women and 35.7% of men chose to complete the optional preparation (</w:t>
      </w:r>
      <w:r>
        <w:rPr>
          <w:i/>
        </w:rPr>
        <w:t>p</w:t>
      </w:r>
      <w:r>
        <w:t xml:space="preserve"> &lt; .05). Again, we find that these behaviors align with participants’ expectations that women will prepare more for the task (χ</w:t>
      </w:r>
      <w:r>
        <w:rPr>
          <w:vertAlign w:val="superscript"/>
        </w:rPr>
        <w:t>2</w:t>
      </w:r>
      <w:r>
        <w:t xml:space="preserve"> = 391.77, </w:t>
      </w:r>
      <w:r>
        <w:rPr>
          <w:i/>
        </w:rPr>
        <w:t>p</w:t>
      </w:r>
      <w:r>
        <w:t xml:space="preserve"> &lt; .01). Also, we find that women prepare more while controlling for choice to compete (95% CI for odds ratio [1.04, 1.82], </w:t>
      </w:r>
      <w:r>
        <w:rPr>
          <w:i/>
        </w:rPr>
        <w:t>p</w:t>
      </w:r>
      <w:r>
        <w:t xml:space="preserve"> &lt; .05) (see Figure 2). Overall, our previous work provides compelling evidence that women are more likely to choose to prepare than men, despite competing less often.</w:t>
      </w:r>
    </w:p>
    <w:p w14:paraId="670731D6" w14:textId="77777777" w:rsidR="006A01C6" w:rsidRDefault="00EC3EE3" w:rsidP="007D19DD">
      <w:pPr>
        <w:pStyle w:val="Heading3"/>
      </w:pPr>
      <w:bookmarkStart w:id="20" w:name="open-questions"/>
      <w:bookmarkStart w:id="21" w:name="_Toc39138136"/>
      <w:r>
        <w:t>Open questions</w:t>
      </w:r>
      <w:bookmarkEnd w:id="20"/>
      <w:bookmarkEnd w:id="21"/>
    </w:p>
    <w:p w14:paraId="670731D7" w14:textId="77777777" w:rsidR="006A01C6" w:rsidRDefault="00EC3EE3" w:rsidP="009229E8">
      <w:pPr>
        <w:pStyle w:val="FirstParagraph"/>
        <w:spacing w:before="0" w:after="0"/>
      </w:pPr>
      <w:r>
        <w:t>We expect gender differences in the choice to prepare before performing will be exacerbated when individuals are required to compete, given women’s greater tendency to avoid competitions entirely, perform more poorly in competitions, and stop competing after failure (</w:t>
      </w:r>
      <w:proofErr w:type="spellStart"/>
      <w:r>
        <w:t>Buser</w:t>
      </w:r>
      <w:proofErr w:type="spellEnd"/>
      <w:r>
        <w:t xml:space="preserve"> &amp; Yuan, 2019; Gill &amp; Prowse, 2014; </w:t>
      </w:r>
      <w:proofErr w:type="spellStart"/>
      <w:r>
        <w:t>Niederle</w:t>
      </w:r>
      <w:proofErr w:type="spellEnd"/>
      <w:r>
        <w:t xml:space="preserve"> &amp; </w:t>
      </w:r>
      <w:proofErr w:type="spellStart"/>
      <w:r>
        <w:t>Vesterlund</w:t>
      </w:r>
      <w:proofErr w:type="spellEnd"/>
      <w:r>
        <w:t>, 2011). If women cannot avoid ubiquitous competitions in the labor market, they may try to cope by preparing more, which may increase their confidence or reduce the perceived risk of the competition. Our proposed Study 1 will manipulate participants’ payment scheme (i.e., competitive or non-competitive) to examine whether competition exacerbates previously established gender differences in effort.</w:t>
      </w:r>
    </w:p>
    <w:p w14:paraId="670731D8" w14:textId="77777777" w:rsidR="006A01C6" w:rsidRDefault="00EC3EE3" w:rsidP="009229E8">
      <w:pPr>
        <w:pStyle w:val="BodyText"/>
        <w:spacing w:before="0" w:after="0"/>
      </w:pPr>
      <w:r>
        <w:t>Next, we will explore possible boundary conditions. We expect that one boundary condition for the predicted gender differences in effort is beliefs about the task. There is still extensive gender segregation by field (</w:t>
      </w:r>
      <w:proofErr w:type="spellStart"/>
      <w:r>
        <w:t>Blau</w:t>
      </w:r>
      <w:proofErr w:type="spellEnd"/>
      <w:r>
        <w:t xml:space="preserve"> et al., 2013; Jacobs, 1995; Jacobsen, 1994; Reskin, 1993), to the extent that occupational parity would only be achieved if more than half of women switched careers (</w:t>
      </w:r>
      <w:proofErr w:type="spellStart"/>
      <w:r>
        <w:t>Blau</w:t>
      </w:r>
      <w:proofErr w:type="spellEnd"/>
      <w:r>
        <w:t xml:space="preserve"> et al., 2013). Beliefs </w:t>
      </w:r>
      <w:r>
        <w:lastRenderedPageBreak/>
        <w:t xml:space="preserve">about gender differences in ability likely contribute to occupational segregation, as suggested by </w:t>
      </w:r>
      <w:proofErr w:type="spellStart"/>
      <w:r>
        <w:t>Cheryan</w:t>
      </w:r>
      <w:proofErr w:type="spellEnd"/>
      <w:r>
        <w:t xml:space="preserve"> et al. (2017), who demonstrate that stereotypes affect differences in the representation of women across STEM fields. Occupational gender segregation explains gender differences in wages (</w:t>
      </w:r>
      <w:proofErr w:type="spellStart"/>
      <w:r>
        <w:t>Blau</w:t>
      </w:r>
      <w:proofErr w:type="spellEnd"/>
      <w:r>
        <w:t xml:space="preserve"> &amp; Kahn, 2017; </w:t>
      </w:r>
      <w:proofErr w:type="spellStart"/>
      <w:r>
        <w:t>Levanon</w:t>
      </w:r>
      <w:proofErr w:type="spellEnd"/>
      <w:r>
        <w:t xml:space="preserve"> et al., 2009), so it is important to understand in which specific contexts the effect of competition on effort holds and how beliefs may shape these effects. To this end, Study 2 will manipulate participants’ beliefs about gender differences on the task under a competitive payment scheme, where participants will be under the impression that women performed better, men performed better, or will not be provided information about gender differences in performance. Like Study 1, we expect an interaction between gender and competition choice, where women will spend more time preparing than men when they believe men performed better during a previous iteration of the study and when they are not provided information about gender differences in performance, but prepare at similar rates as men when they believe women performed better. Since previous research suggests confidence and risk aversion are relevant factors in one’s decision to compete (</w:t>
      </w:r>
      <w:proofErr w:type="spellStart"/>
      <w:r>
        <w:t>Niederle</w:t>
      </w:r>
      <w:proofErr w:type="spellEnd"/>
      <w:r>
        <w:t xml:space="preserve"> &amp; </w:t>
      </w:r>
      <w:proofErr w:type="spellStart"/>
      <w:r>
        <w:t>Vesterlund</w:t>
      </w:r>
      <w:proofErr w:type="spellEnd"/>
      <w:r>
        <w:t>, 2011), we will include exploratory analyses testing whether confidence or risk aversion interaction with gender and condition.</w:t>
      </w:r>
    </w:p>
    <w:p w14:paraId="670731D9" w14:textId="77777777" w:rsidR="006A01C6" w:rsidRDefault="00EC3EE3" w:rsidP="005A418F">
      <w:pPr>
        <w:pStyle w:val="Heading2"/>
      </w:pPr>
      <w:bookmarkStart w:id="22" w:name="proposed-research"/>
      <w:bookmarkStart w:id="23" w:name="_Toc39138137"/>
      <w:r>
        <w:t>Proposed research</w:t>
      </w:r>
      <w:bookmarkEnd w:id="22"/>
      <w:bookmarkEnd w:id="23"/>
    </w:p>
    <w:p w14:paraId="670731DA" w14:textId="77777777" w:rsidR="006A01C6" w:rsidRDefault="00EC3EE3" w:rsidP="007D19DD">
      <w:pPr>
        <w:pStyle w:val="Heading3"/>
      </w:pPr>
      <w:bookmarkStart w:id="24" w:name="X7462fbc2ac1bf2102ddfbc9f10a05562fe0a8f9"/>
      <w:bookmarkStart w:id="25" w:name="_Toc39138138"/>
      <w:r>
        <w:t>Study 1: Does competition elicit gender differences in effort?</w:t>
      </w:r>
      <w:bookmarkEnd w:id="24"/>
      <w:bookmarkEnd w:id="25"/>
    </w:p>
    <w:p w14:paraId="670731DB" w14:textId="77777777" w:rsidR="006A01C6" w:rsidRDefault="00EC3EE3" w:rsidP="009229E8">
      <w:pPr>
        <w:pStyle w:val="Heading4"/>
        <w:spacing w:before="0"/>
      </w:pPr>
      <w:bookmarkStart w:id="26" w:name="procedure"/>
      <w:r>
        <w:t>Procedure</w:t>
      </w:r>
      <w:bookmarkEnd w:id="26"/>
    </w:p>
    <w:p w14:paraId="670731DC" w14:textId="77777777" w:rsidR="006A01C6" w:rsidRDefault="00EC3EE3" w:rsidP="009229E8">
      <w:pPr>
        <w:pStyle w:val="FirstParagraph"/>
        <w:spacing w:before="0" w:after="0"/>
      </w:pPr>
      <w:r>
        <w:t>Participants (</w:t>
      </w:r>
      <w:r>
        <w:rPr>
          <w:i/>
        </w:rPr>
        <w:t>N</w:t>
      </w:r>
      <w:r>
        <w:t xml:space="preserve"> = 3250; see sample size justification below) will be recruited to complete a study on “decision-making and performance” through </w:t>
      </w:r>
      <w:proofErr w:type="spellStart"/>
      <w:r>
        <w:t>MTurk</w:t>
      </w:r>
      <w:proofErr w:type="spellEnd"/>
      <w:r>
        <w:t>, with a guaranteed payment and the opportunity to earn bonuses depending on their performance and the performance of others. Recruiting participants on this platform allows for efficient data collection while meeting acceptable psychometric standards (</w:t>
      </w:r>
      <w:proofErr w:type="spellStart"/>
      <w:r>
        <w:t>Buhrmester</w:t>
      </w:r>
      <w:proofErr w:type="spellEnd"/>
      <w:r>
        <w:t xml:space="preserve"> et al., 2011; Rand, 2012). Since we anticipate completing the required parts of the study will take no more than 10 minutes on average, we will pay participants $2.50 (i.e., double the federal and Pennsylvania minimum wage), with the opportunity for bonuses, outlined below. Participants will only be included if they indicate that they are 18 years or older, are American citizens, and identify as female or male.</w:t>
      </w:r>
    </w:p>
    <w:p w14:paraId="670731DD" w14:textId="77777777" w:rsidR="006A01C6" w:rsidRDefault="00EC3EE3" w:rsidP="009229E8">
      <w:pPr>
        <w:pStyle w:val="BodyText"/>
        <w:spacing w:before="0" w:after="0"/>
      </w:pPr>
      <w:r>
        <w:rPr>
          <w:b/>
        </w:rPr>
        <w:t>Manipulation:</w:t>
      </w:r>
      <w:r>
        <w:t xml:space="preserve"> Participants will be randomly assigned to follow either a competitive or noncompetitive scheme for one round (2 minutes) of multiplication problems conditional on their indicated gender (to guarantee women and men are represented at similar rates in each condition). We use the multiplication task for this study because a pilot study in this line of work showed that 79.69% of participants believed their score on the multiplication task would have improved with practice if they had been given the chance (χ2 = 112.81, p &lt; .001). Therefore, participants are motivated to practice before the multiplication task compared to other tasks where participants’ scores do not improve with practice.</w:t>
      </w:r>
    </w:p>
    <w:p w14:paraId="670731DE" w14:textId="77777777" w:rsidR="006A01C6" w:rsidRDefault="00EC3EE3" w:rsidP="009229E8">
      <w:pPr>
        <w:pStyle w:val="BodyText"/>
        <w:spacing w:before="0" w:after="0"/>
      </w:pPr>
      <w:r>
        <w:t xml:space="preserve">The payment scheme will be manipulated between subjects, where participants in the competition (tournament) condition will be paid 4 cents per problem on the task, but only if they beat another randomly assigned </w:t>
      </w:r>
      <w:proofErr w:type="spellStart"/>
      <w:r>
        <w:t>MTurker</w:t>
      </w:r>
      <w:proofErr w:type="spellEnd"/>
      <w:r>
        <w:t>, while participants assigned to the noncompetitive (piece-rate) payment scheme will be paid 2 cents per problem. Although a within-subjects design would allow us to have more power in detecting the proposed interaction effect between condition and gender in predicting decision to prepare, we anticipate interpreting the effect of the interaction on time spent preparing for whichever payment scheme is presented second (since the payment schemes would be counterbalanced) would be difficult considering the number of factors that could affect the decision (e.g., fatigue and/or learning effects reducing participants’ desire to prepare, demand effects for preparation if participants believe they are expected to prepare more in one condition compared to the other). Thus, we would only be able to confidently interpret the results for whichever condition were presented first, and hence have opted for a fully between-subjects design.</w:t>
      </w:r>
    </w:p>
    <w:p w14:paraId="670731DF" w14:textId="77777777" w:rsidR="006A01C6" w:rsidRDefault="00EC3EE3" w:rsidP="009229E8">
      <w:pPr>
        <w:pStyle w:val="BodyText"/>
        <w:spacing w:before="0" w:after="0"/>
      </w:pPr>
      <w:r>
        <w:rPr>
          <w:b/>
        </w:rPr>
        <w:t>DV:</w:t>
      </w:r>
      <w:r>
        <w:t xml:space="preserve"> Participants will have the option to complete unlimited “preparation” problems, which they will be told might improve their performance on the subsequent task. To measure their desire to prepare for the task, we will first ask participants whether they would like to spend any time practicing multiplication problems. For participants who agree to practice, we will ask them to enter how much time they would like to spend preparing using a slider scale (ranging from 0-30 minutes in 30 second increments), which will be granted. This measure is advantageous </w:t>
      </w:r>
      <w:proofErr w:type="gramStart"/>
      <w:r>
        <w:t>over using</w:t>
      </w:r>
      <w:proofErr w:type="gramEnd"/>
      <w:r>
        <w:t xml:space="preserve"> actual time preparing because participants may have </w:t>
      </w:r>
      <w:r>
        <w:lastRenderedPageBreak/>
        <w:t>unexpected interruptions while they are completing the preparation, which may lead us to erroneously conclude that they are expending more effort. Thus, we use chosen amount of time preparing as our primary dependent variable. We will also include a measure of the number of problems participants complete in the amount of they spent preparing (including both correct and incorrect responses, since completing any problems, regardless of one’s accuracy, is considered preparation) as a secondary dependent variable, which will serve as a robustness check for the slider scale measure, in case participants do not actually prepare as much as they anticipate they will.</w:t>
      </w:r>
    </w:p>
    <w:p w14:paraId="670731E0" w14:textId="77777777" w:rsidR="006A01C6" w:rsidRDefault="00EC3EE3" w:rsidP="009229E8">
      <w:pPr>
        <w:pStyle w:val="BodyText"/>
        <w:spacing w:before="0" w:after="0"/>
      </w:pPr>
      <w:r>
        <w:t>Unbeknownst to the participants, the practice problems will be identical to the task itself, so preparing will likely improve performance on the task, as suggested to participants when they were presented the opportunity to practice. Once participants finish their optional preparation round, they will be asked to indicate whether they would like to continue preparing or move onto the task. If they choose the former option, they will be able to enter their desired time for preparing using the same slider scale. The dependent variable will be quantified as the total number of minutes across all optional preparation rounds.</w:t>
      </w:r>
    </w:p>
    <w:p w14:paraId="670731E1" w14:textId="77777777" w:rsidR="006A01C6" w:rsidRDefault="00EC3EE3" w:rsidP="009229E8">
      <w:pPr>
        <w:pStyle w:val="BodyText"/>
        <w:spacing w:before="0" w:after="0"/>
      </w:pPr>
      <w:r>
        <w:rPr>
          <w:b/>
        </w:rPr>
        <w:t>Task performance:</w:t>
      </w:r>
      <w:r>
        <w:t xml:space="preserve"> Participants’ scores on the task will be quantified as the number of questions correct within the time frame allotted, without any penalties for incorrect responses. Participants will be presented with their absolute (but not relative) performance (i.e., the number of questions they answered correctly). We do not include information about their relative performance since we ask them to guess their relative performance in the confidence measure.</w:t>
      </w:r>
    </w:p>
    <w:p w14:paraId="670731E2" w14:textId="77777777" w:rsidR="006A01C6" w:rsidRDefault="00EC3EE3" w:rsidP="009229E8">
      <w:pPr>
        <w:pStyle w:val="BodyText"/>
        <w:spacing w:before="0" w:after="0"/>
      </w:pPr>
      <w:r>
        <w:rPr>
          <w:b/>
        </w:rPr>
        <w:t>Post-manipulation measures:</w:t>
      </w:r>
      <w:r>
        <w:t xml:space="preserve"> Participants will complete a series of measures after the manipulation, which will be used for exploratory analyses. All questions will be counterbalanced. The confidence measure will incentivize ($.250 = 10% of their guaranteed earnings) participants to guess their relative performance compared to all other participants that completed the task by indicating the decile of their score relative to other participants. We use a measure of relative performance, rather than a measure of absolute performance (e.g., asking participants to guess their score on the task) because relative performance is much more relevant for competitive contexts than noncompetitive contexts in the labor market. This measure draws from previous research (</w:t>
      </w:r>
      <w:proofErr w:type="spellStart"/>
      <w:r>
        <w:t>Niederle</w:t>
      </w:r>
      <w:proofErr w:type="spellEnd"/>
      <w:r>
        <w:t xml:space="preserve"> &amp; </w:t>
      </w:r>
      <w:proofErr w:type="spellStart"/>
      <w:r>
        <w:t>Vesterlund</w:t>
      </w:r>
      <w:proofErr w:type="spellEnd"/>
      <w:r>
        <w:t>, 2007), but instead of asking participants to indicate whether they won against a randomly selected opponent, we ask participant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will be phrased so participants do not need to understand the word “decile,” but will be asked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We will also measure risk aversion by asking participants to indicate on a 0-10 scale “How do you see yourself: Are you generally a person who is fully prepared to take risks or do you try to avoid taking risks?” (</w:t>
      </w:r>
      <w:proofErr w:type="spellStart"/>
      <w:r>
        <w:t>Dohmen</w:t>
      </w:r>
      <w:proofErr w:type="spellEnd"/>
      <w:r>
        <w:t xml:space="preserve"> &amp; Falk, 2011).</w:t>
      </w:r>
    </w:p>
    <w:p w14:paraId="670731E3" w14:textId="77777777" w:rsidR="006A01C6" w:rsidRDefault="00EC3EE3" w:rsidP="009229E8">
      <w:pPr>
        <w:pStyle w:val="Heading4"/>
        <w:spacing w:before="0"/>
      </w:pPr>
      <w:bookmarkStart w:id="27" w:name="attrition"/>
      <w:r>
        <w:t>Attrition:</w:t>
      </w:r>
      <w:bookmarkEnd w:id="27"/>
    </w:p>
    <w:p w14:paraId="670731E4" w14:textId="77777777" w:rsidR="006A01C6" w:rsidRDefault="00EC3EE3" w:rsidP="009229E8">
      <w:pPr>
        <w:pStyle w:val="FirstParagraph"/>
        <w:spacing w:before="0" w:after="0"/>
      </w:pPr>
      <w:r>
        <w:t xml:space="preserve">We will take several steps to counteract the possibility of condition-dependent attrition, which has the potential to lead to misleading conclusions (Zhou &amp; </w:t>
      </w:r>
      <w:proofErr w:type="spellStart"/>
      <w:r>
        <w:t>Fishbach</w:t>
      </w:r>
      <w:proofErr w:type="spellEnd"/>
      <w:r>
        <w:t xml:space="preserve">, 2016), especially if women and men drop out at different rates. First, we will employ 3 costless strategies (e.g., personalization, forewarning of study content, and an appeal to participants’ conscience) suggested by </w:t>
      </w:r>
      <w:proofErr w:type="spellStart"/>
      <w:r>
        <w:t>Reips</w:t>
      </w:r>
      <w:proofErr w:type="spellEnd"/>
      <w:r>
        <w:t xml:space="preserve"> (2000) and shown in Zhou &amp; </w:t>
      </w:r>
      <w:proofErr w:type="spellStart"/>
      <w:r>
        <w:t>Fishbach</w:t>
      </w:r>
      <w:proofErr w:type="spellEnd"/>
      <w:r>
        <w:t xml:space="preserve"> (2016) to be effective in reducing dropout rates by at least half. When participants enter the study, they will read a message that serves as both a forewarning and an appeal to their conscious (bolded) (modified from Zhou &amp; </w:t>
      </w:r>
      <w:proofErr w:type="spellStart"/>
      <w:r>
        <w:t>Fishbach</w:t>
      </w:r>
      <w:proofErr w:type="spellEnd"/>
      <w:r>
        <w:t>, 2016):</w:t>
      </w:r>
    </w:p>
    <w:p w14:paraId="670731E5" w14:textId="77777777" w:rsidR="006A01C6" w:rsidRDefault="00EC3EE3" w:rsidP="009229E8">
      <w:pPr>
        <w:pStyle w:val="BodyText"/>
        <w:spacing w:before="0" w:after="0"/>
      </w:pPr>
      <w:r>
        <w:t xml:space="preserve">“This is an anonymous survey consisting of multiple questions. </w:t>
      </w:r>
      <w:r>
        <w:rPr>
          <w:b/>
        </w:rPr>
        <w:t>If a sizable number of people quit a survey partway, the data quality of that survey would be compromised.</w:t>
      </w:r>
      <w:r>
        <w:t xml:space="preserve"> However, our research depends on good quality data, so we ask that you are willing to participate in the survey for its entirety.”</w:t>
      </w:r>
    </w:p>
    <w:p w14:paraId="670731E6" w14:textId="77777777" w:rsidR="006A01C6" w:rsidRDefault="00EC3EE3" w:rsidP="009229E8">
      <w:pPr>
        <w:pStyle w:val="BodyText"/>
        <w:spacing w:before="0" w:after="0"/>
      </w:pPr>
      <w:r>
        <w:t xml:space="preserve">Then, participants will enter their </w:t>
      </w:r>
      <w:proofErr w:type="spellStart"/>
      <w:r>
        <w:t>MTurk</w:t>
      </w:r>
      <w:proofErr w:type="spellEnd"/>
      <w:r>
        <w:t xml:space="preserve"> ID as a means of establishing personalization. Notably, Zhou </w:t>
      </w:r>
      <w:r w:rsidRPr="00E045E6">
        <w:t xml:space="preserve">&amp; </w:t>
      </w:r>
      <w:proofErr w:type="spellStart"/>
      <w:r w:rsidRPr="00E045E6">
        <w:t>Fishbach</w:t>
      </w:r>
      <w:proofErr w:type="spellEnd"/>
      <w:r w:rsidRPr="00E045E6">
        <w:t xml:space="preserve"> (2016) acknowledge that this is not a foolproof solution, since screening participants in advance in this way may reduce external validity. In this case, we want to have the capacity</w:t>
      </w:r>
      <w:r>
        <w:t xml:space="preserve"> to establish the anticipated effect in the first place, so we are prioritizing internal validity. On top of these preventive </w:t>
      </w:r>
      <w:r>
        <w:lastRenderedPageBreak/>
        <w:t xml:space="preserve">measures, we will collect information about the rates of attrition during each study. </w:t>
      </w:r>
      <w:proofErr w:type="spellStart"/>
      <w:r>
        <w:t>Turkprime</w:t>
      </w:r>
      <w:proofErr w:type="spellEnd"/>
      <w:r>
        <w:t xml:space="preserve"> provides a metric for the overall rate of attrition, while Qualtrics offers the option to view partial responses from dropouts. For participants who drop out </w:t>
      </w:r>
      <w:r w:rsidRPr="00E045E6">
        <w:t>during</w:t>
      </w:r>
      <w:r>
        <w:t xml:space="preserve"> or after learning about the manipulation, we will create an indicator variable for survey completion based on partial responses from Qualtrics, which will be coded as 1 if participants finish the study and 0 otherwise. This indicator will then be submitted as the dependent variable to a logistic regression with β</w:t>
      </w:r>
      <w:r>
        <w:rPr>
          <w:vertAlign w:val="subscript"/>
        </w:rPr>
        <w:t>1</w:t>
      </w:r>
      <w:r>
        <w:t>*Condition + β</w:t>
      </w:r>
      <w:r>
        <w:rPr>
          <w:vertAlign w:val="subscript"/>
        </w:rPr>
        <w:t>2</w:t>
      </w:r>
      <w:r>
        <w:t>*Gender + β</w:t>
      </w:r>
      <w:r>
        <w:rPr>
          <w:vertAlign w:val="subscript"/>
        </w:rPr>
        <w:t>3</w:t>
      </w:r>
      <w:r>
        <w:t xml:space="preserve">*Gender*Condition as predictors. If we find a significant interaction effect between gender and condition, this would suggest that we should interpret our results with caution because internal validity may be threatened, which will be explicitly stated in any reports on the studies, along with overall attrition rates and condition-dependent attrition rates (Zhou &amp; </w:t>
      </w:r>
      <w:proofErr w:type="spellStart"/>
      <w:r>
        <w:t>Fishbach</w:t>
      </w:r>
      <w:proofErr w:type="spellEnd"/>
      <w:r>
        <w:t>, 2016). We also note that our pilot data where participants were required to complete one round of a task under each type of payment scheme suggests that a small proportion of participants (6%) drop out during the study at all (Richards et al., 2020). For participants who did not finish the pilot study, all participants who performed under the piece-rate payment scheme (which was presented first) also performed under the tournament payment scheme. Thus, our previous evidence suggests that condition-dependent attrition is unlikely, with the caveat that the participants in the pilot study saw both payment schemes, which is slightly different from the proposed research. To account for the possibility that attrition rates in previous studies do not allow us to infer attrition rates for the proposed research, we take the aforementioned steps to protect the integrity of the study from condition-dependent attrition.</w:t>
      </w:r>
    </w:p>
    <w:p w14:paraId="670731E7" w14:textId="77777777" w:rsidR="006A01C6" w:rsidRDefault="00EC3EE3" w:rsidP="009229E8">
      <w:pPr>
        <w:pStyle w:val="Heading4"/>
        <w:spacing w:before="0"/>
      </w:pPr>
      <w:bookmarkStart w:id="28" w:name="hypotheses-and-analyses"/>
      <w:r>
        <w:t>Hypotheses and analyses</w:t>
      </w:r>
      <w:bookmarkEnd w:id="28"/>
    </w:p>
    <w:p w14:paraId="670731E8" w14:textId="77777777" w:rsidR="006A01C6" w:rsidRDefault="00EC3EE3" w:rsidP="009229E8">
      <w:pPr>
        <w:pStyle w:val="FirstParagraph"/>
        <w:spacing w:before="0" w:after="0"/>
      </w:pPr>
      <w:r>
        <w:t>We will be using two-tailed tests during all hypothesis testing (</w:t>
      </w:r>
      <w:r>
        <w:rPr>
          <w:i/>
        </w:rPr>
        <w:t>p</w:t>
      </w:r>
      <w:r>
        <w:t xml:space="preserve"> &lt; .05) and all analyses will be conducted in </w:t>
      </w:r>
      <w:r>
        <w:rPr>
          <w:i/>
        </w:rPr>
        <w:t>R</w:t>
      </w:r>
      <w:r>
        <w:t xml:space="preserve">. To control the false-discovery rate during exploratory analyses, we will apply the </w:t>
      </w:r>
      <w:proofErr w:type="spellStart"/>
      <w:r>
        <w:t>Benjamini</w:t>
      </w:r>
      <w:proofErr w:type="spellEnd"/>
      <w:r>
        <w:t>-Hochberg correction to all exploratory analyses.</w:t>
      </w:r>
    </w:p>
    <w:p w14:paraId="670731E9" w14:textId="77777777" w:rsidR="006A01C6" w:rsidRDefault="00EC3EE3" w:rsidP="009229E8">
      <w:pPr>
        <w:pStyle w:val="BodyText"/>
        <w:spacing w:before="0" w:after="0"/>
      </w:pPr>
      <w:r>
        <w:rPr>
          <w:b/>
        </w:rPr>
        <w:t>Primary analysis</w:t>
      </w:r>
      <w:r>
        <w:t>: We expect that women will choose to prepare more than men, especially before a competition. We will test the interaction between gender and condition (competitive or noncompetitive pay) using a linear regression with amount of time a participant chose to prepare (summed across all rounds of preparation) as the dependent variable. Thus, the following linear regression will be run: Time spent preparing = β</w:t>
      </w:r>
      <w:r>
        <w:rPr>
          <w:vertAlign w:val="subscript"/>
        </w:rPr>
        <w:t>1</w:t>
      </w:r>
      <w:r>
        <w:t>*Gender+ β</w:t>
      </w:r>
      <w:r>
        <w:rPr>
          <w:vertAlign w:val="subscript"/>
        </w:rPr>
        <w:t>2</w:t>
      </w:r>
      <w:r>
        <w:t>*Condition + β</w:t>
      </w:r>
      <w:r>
        <w:rPr>
          <w:vertAlign w:val="subscript"/>
        </w:rPr>
        <w:t>3</w:t>
      </w:r>
      <w:r>
        <w:t>*Gender*Condition, where the piece-rate payment scheme and men will be coded as the reference groups for Condition and Gender, respectively. A positive beta coefficient for the interaction term (β</w:t>
      </w:r>
      <w:r>
        <w:rPr>
          <w:vertAlign w:val="subscript"/>
        </w:rPr>
        <w:t>3</w:t>
      </w:r>
      <w:r>
        <w:t>) would support our hypothesis, indicating that the effect of gender on choice to prepare is greater in the tournament condition. Additionally, we expect positive beta coefficients for the main effects of gender and condition, suggesting the women and participants following the competitive pay scheme spent more time preparing. We will also run a separate linear regression with number of problems completed (including both correct and incorrect responses) as a secondary dependent variable, to check that the results agree. Since both proposed experiments include large sample sizes (</w:t>
      </w:r>
      <w:r>
        <w:rPr>
          <w:i/>
        </w:rPr>
        <w:t>N</w:t>
      </w:r>
      <w:r>
        <w:t xml:space="preserve"> = 3250), it is unlikely demographic variables will become exceptionally imbalanced across conditions to the extent that they will explain our observed effects (Bowers, 2011). Hence, we do not control for covariates in the primary analyses in either proposed study.</w:t>
      </w:r>
    </w:p>
    <w:p w14:paraId="670731EA" w14:textId="77777777" w:rsidR="006A01C6" w:rsidRDefault="00EC3EE3" w:rsidP="009229E8">
      <w:pPr>
        <w:pStyle w:val="BodyText"/>
        <w:spacing w:before="0" w:after="0"/>
      </w:pPr>
      <w:r>
        <w:rPr>
          <w:b/>
        </w:rPr>
        <w:t>Exploratory analysis 1:</w:t>
      </w:r>
      <w:r>
        <w:t xml:space="preserve"> We will test whether post-manipulation confidence (measured as participants’ projected decile rating) interacts with gender and condition by running a linear regression with time spent preparing as a dependent variable. Therefore, the model will be structured as follows: Time spent preparing = β</w:t>
      </w:r>
      <w:r>
        <w:rPr>
          <w:vertAlign w:val="subscript"/>
        </w:rPr>
        <w:t>1</w:t>
      </w:r>
      <w:r>
        <w:t>*Gender+ β</w:t>
      </w:r>
      <w:r>
        <w:rPr>
          <w:vertAlign w:val="subscript"/>
        </w:rPr>
        <w:t>2</w:t>
      </w:r>
      <w:r>
        <w:t>*Condition + β</w:t>
      </w:r>
      <w:r>
        <w:rPr>
          <w:vertAlign w:val="subscript"/>
        </w:rPr>
        <w:t>3</w:t>
      </w:r>
      <w:r>
        <w:t>*Gender*Condition + β</w:t>
      </w:r>
      <w:r>
        <w:rPr>
          <w:vertAlign w:val="subscript"/>
        </w:rPr>
        <w:t>4</w:t>
      </w:r>
      <w:r>
        <w:t>*Confidence*Condition + β</w:t>
      </w:r>
      <w:r>
        <w:rPr>
          <w:vertAlign w:val="subscript"/>
        </w:rPr>
        <w:t>5</w:t>
      </w:r>
      <w:r>
        <w:t>*Gender*Confidence + β</w:t>
      </w:r>
      <w:r>
        <w:rPr>
          <w:vertAlign w:val="subscript"/>
        </w:rPr>
        <w:t>6</w:t>
      </w:r>
      <w:r>
        <w:t>*Gender*Condition*Confidence. The reference groups will be the piece-rate payment scheme and men for condition and gender, respectively.</w:t>
      </w:r>
    </w:p>
    <w:p w14:paraId="670731EB" w14:textId="77777777" w:rsidR="006A01C6" w:rsidRDefault="00EC3EE3" w:rsidP="009229E8">
      <w:pPr>
        <w:pStyle w:val="BodyText"/>
        <w:spacing w:before="0" w:after="0"/>
      </w:pPr>
      <w:r>
        <w:rPr>
          <w:b/>
        </w:rPr>
        <w:t>Exploratory analysis 2:</w:t>
      </w:r>
      <w:r>
        <w:t xml:space="preserve"> Finally, we will explore whether risk aversion interacts with participants’ gender and their time spent preparing. The procedures for this test will be identical to those in Exploratory analysis 1, but risk aversion will replace confidence.</w:t>
      </w:r>
    </w:p>
    <w:p w14:paraId="670731EC" w14:textId="77777777" w:rsidR="006A01C6" w:rsidRDefault="00EC3EE3" w:rsidP="007D19DD">
      <w:pPr>
        <w:pStyle w:val="Heading3"/>
      </w:pPr>
      <w:bookmarkStart w:id="29" w:name="X09527d51b2e57c080decc298cbf10db1f1981c5"/>
      <w:bookmarkStart w:id="30" w:name="_Toc39138139"/>
      <w:r>
        <w:t>Study 2: Do task stereotypes elicit gender differences in effort during competition?</w:t>
      </w:r>
      <w:bookmarkEnd w:id="29"/>
      <w:bookmarkEnd w:id="30"/>
    </w:p>
    <w:p w14:paraId="670731ED" w14:textId="77777777" w:rsidR="006A01C6" w:rsidRDefault="00EC3EE3" w:rsidP="009229E8">
      <w:pPr>
        <w:pStyle w:val="Heading4"/>
        <w:spacing w:before="0"/>
      </w:pPr>
      <w:bookmarkStart w:id="31" w:name="procedure-1"/>
      <w:r>
        <w:t>Procedure</w:t>
      </w:r>
      <w:bookmarkEnd w:id="31"/>
    </w:p>
    <w:p w14:paraId="670731EE" w14:textId="77777777" w:rsidR="006A01C6" w:rsidRDefault="00EC3EE3" w:rsidP="009229E8">
      <w:pPr>
        <w:pStyle w:val="FirstParagraph"/>
        <w:spacing w:before="0" w:after="0"/>
      </w:pPr>
      <w:r>
        <w:t xml:space="preserve">Study 2 will have almost identical procedures as those employed in Study 1, where participants will see the manipulation, complete the main task, and answer post-manipulation measures, including risk </w:t>
      </w:r>
      <w:r>
        <w:lastRenderedPageBreak/>
        <w:t>aversion, confidence, and a manipulation check. There are a few notable changes that will be implemented in Study 2. Instead of manipulating the payment scheme, all participants will be required to submit their performance to a tournament, following the same rate of pay as Study 1 ($.04 per problem if the participant outperforms a randomly assigned partner). We do not manipulate payment scheme here to reserve power for the main interaction effect of interest between gender and task stereotypes on the decision to spend more time preparing. Stereotypes about gender differences in performance on the task will be manipulated by stating that our previous study showed that men outperformed women or that women outperformed men on the task (Fryer et al., 2008). Additionally, we will have a control condition where participants are not told about any gender differences in performance on the task. If we do not find a significant difference between the conditions that establish gender differences in performance, we will be able to use the control condition to identify whether there is no effect of knowing about gender differences or if priming gender at all has effects on the choice to prepare. For the main task, we employ a 1-minute matching task where participants are first presented with a legend with numbers and corresponding letters. Using this legend, they must enter letters that correspond to the sequences of 2-digit numbers presented to them. Since our preliminary data suggest participants complete the problems in the matching task twice as fast as problems in the multiplication task, we reduce the task time to one minute to reduce total study costs. This novel task is used instead of the multiplication task from Study 1 to increase the likelihood that participants will believe our manipulation (i.e., that men or women are better) (</w:t>
      </w:r>
      <w:proofErr w:type="spellStart"/>
      <w:r>
        <w:t>Cvencek</w:t>
      </w:r>
      <w:proofErr w:type="spellEnd"/>
      <w:r>
        <w:t xml:space="preserve"> et al., 2011; </w:t>
      </w:r>
      <w:proofErr w:type="spellStart"/>
      <w:r>
        <w:t>Nosek</w:t>
      </w:r>
      <w:proofErr w:type="spellEnd"/>
      <w:r>
        <w:t xml:space="preserve"> et al., 2002; Swim, 1994). If we used the multiplication task or another task </w:t>
      </w:r>
      <w:proofErr w:type="gramStart"/>
      <w:r>
        <w:t>participants</w:t>
      </w:r>
      <w:proofErr w:type="gramEnd"/>
      <w:r>
        <w:t xml:space="preserve"> were familiar with, it is possible participants may not believe there were any gender differences in performance, or have pre-conceived ideas about which gender would perform better, based on any previous experience with the task they may have had.</w:t>
      </w:r>
    </w:p>
    <w:p w14:paraId="670731EF" w14:textId="77777777" w:rsidR="006A01C6" w:rsidRDefault="00EC3EE3" w:rsidP="009229E8">
      <w:pPr>
        <w:pStyle w:val="BodyText"/>
        <w:spacing w:before="0" w:after="0"/>
      </w:pPr>
      <w:r>
        <w:t xml:space="preserve">One may argue that this manipulation elicits demand effects, where participants may choose to prepare more when they are told their gender performs poorly on the task because they may be able to recognize our hypothesis and want to behave in ways that align with the hypothesis. We argue that demand effects are not problematic for interpreting the results for two reasons. First, it is unlikely participants will be sufficiently motivated by the unpaid preparation to succumb to demand effects, even if they know our hypothesis. Only 12% of U.S. </w:t>
      </w:r>
      <w:proofErr w:type="spellStart"/>
      <w:r>
        <w:t>MTurkers</w:t>
      </w:r>
      <w:proofErr w:type="spellEnd"/>
      <w:r>
        <w:t xml:space="preserve"> indicate that “</w:t>
      </w:r>
      <w:proofErr w:type="spellStart"/>
      <w:r>
        <w:t>MTurk</w:t>
      </w:r>
      <w:proofErr w:type="spellEnd"/>
      <w:r>
        <w:t xml:space="preserve"> money is irrelevant” and another 12% indicate that “</w:t>
      </w:r>
      <w:proofErr w:type="spellStart"/>
      <w:r>
        <w:t>MTurk</w:t>
      </w:r>
      <w:proofErr w:type="spellEnd"/>
      <w:r>
        <w:t xml:space="preserve"> is my primary source of income” (Mason &amp; Suri, 2012), suggesting that many </w:t>
      </w:r>
      <w:proofErr w:type="spellStart"/>
      <w:r>
        <w:t>MTurkers</w:t>
      </w:r>
      <w:proofErr w:type="spellEnd"/>
      <w:r>
        <w:t xml:space="preserve"> try to maximize the amount of money they make in a given amount of time while on the platform, and are unlikely to be motivated by unpaid work. Even if participants are motivated to align their behavior with our hypothesis, there are many tasks in the real world where task stereotypes about gender differences in performance are either implicitly or explicitly stated (Grosse &amp; </w:t>
      </w:r>
      <w:proofErr w:type="spellStart"/>
      <w:r>
        <w:t>Riener</w:t>
      </w:r>
      <w:proofErr w:type="spellEnd"/>
      <w:r>
        <w:t>, 2010), with the assumption that one gender must exert more effort to “compensate” for a lack of ability. Thus, participants’ behavior in the study, even if driven by demand, will likely mirror effects we see in the real world, and as a result, will have real-world implications, especially if women are preparing more than necessary based on inaccurate stereotypes.</w:t>
      </w:r>
    </w:p>
    <w:p w14:paraId="670731F0" w14:textId="77777777" w:rsidR="006A01C6" w:rsidRDefault="00EC3EE3" w:rsidP="009229E8">
      <w:pPr>
        <w:pStyle w:val="BodyText"/>
        <w:spacing w:before="0" w:after="0"/>
      </w:pPr>
      <w:r>
        <w:t>After completing the task, participants will complete the measures of risk aversion and confidence from Study 1, along with a manipulation check, where participants are asked to identify whether, on average, our previous study showed that a) men performed better on the task, b) women performed better on the task, or c) there were no gender differences in performance on the task. The presentation of these options will be counterbalanced across participants. Participants will be incentivized to answer all post-manipulation measures at the same rate (i.e., $.250).</w:t>
      </w:r>
    </w:p>
    <w:p w14:paraId="670731F1" w14:textId="77777777" w:rsidR="006A01C6" w:rsidRDefault="00EC3EE3" w:rsidP="009229E8">
      <w:pPr>
        <w:pStyle w:val="Heading4"/>
        <w:spacing w:before="0"/>
      </w:pPr>
      <w:bookmarkStart w:id="32" w:name="analyses-and-expected-results"/>
      <w:r>
        <w:t>Analyses and expected results</w:t>
      </w:r>
      <w:bookmarkEnd w:id="32"/>
    </w:p>
    <w:p w14:paraId="670731F2" w14:textId="77777777" w:rsidR="006A01C6" w:rsidRDefault="00EC3EE3" w:rsidP="009229E8">
      <w:pPr>
        <w:pStyle w:val="FirstParagraph"/>
        <w:spacing w:before="0" w:after="0"/>
      </w:pPr>
      <w:r>
        <w:rPr>
          <w:b/>
        </w:rPr>
        <w:t>Primary analysis</w:t>
      </w:r>
      <w:r>
        <w:t xml:space="preserve">: Women choose to prepare more than men before a competition, especially when the task is male-typed. The primary analysis will be parallel to Study 1, with a few changes. First, the reference group for the condition variable will be the control condition. A positive beta coefficient for the interaction term between the gender variable and the male-typed task condition would suggest that the manipulation elicited greater practice in women when they believed men performed better on the task. For the interaction between gender and the female-typed task condition, we do not have strong a priori predictions about the direction of the effect. It is possible women may still be motivated to prepare since </w:t>
      </w:r>
      <w:r>
        <w:lastRenderedPageBreak/>
        <w:t>they would not want to perform worse than other women, in which case we would expect the interaction term between gender and the female-typed task condition would be positive, albeit weaker than interaction effect between gender and the male-typed task condition. However, if women feel less motivated to prepare after learning the task is female-typed, we would expect the coefficient will be close to zero and nonsignificant, suggesting that believing women perform better on the task will lead women and men to spend relatively similar amounts of time practicing. We do not expect the female-typed task will encourage men to practice significantly more than women, largely because men tend to be more confident on average than women (</w:t>
      </w:r>
      <w:proofErr w:type="spellStart"/>
      <w:r>
        <w:t>Niederle</w:t>
      </w:r>
      <w:proofErr w:type="spellEnd"/>
      <w:r>
        <w:t xml:space="preserve"> &amp; </w:t>
      </w:r>
      <w:proofErr w:type="spellStart"/>
      <w:r>
        <w:t>Vesterlund</w:t>
      </w:r>
      <w:proofErr w:type="spellEnd"/>
      <w:r>
        <w:t>, 2011). As in the previous study, we will run a separate linear regression with the number of correct and incorrect responses within the amount of time spent preparing as a secondary dependent variable.</w:t>
      </w:r>
    </w:p>
    <w:p w14:paraId="670731F3" w14:textId="77777777" w:rsidR="006A01C6" w:rsidRDefault="00EC3EE3" w:rsidP="009229E8">
      <w:pPr>
        <w:pStyle w:val="BodyText"/>
        <w:spacing w:before="0" w:after="0"/>
      </w:pPr>
      <w:r>
        <w:rPr>
          <w:b/>
        </w:rPr>
        <w:t>Exploratory analyses 1 and 2:</w:t>
      </w:r>
      <w:r>
        <w:t xml:space="preserve"> Exploratory analyses 1 and 2 will be similar to the analyses in Study 1, with the control condition as the reference group for the condition variable.</w:t>
      </w:r>
    </w:p>
    <w:p w14:paraId="670731F4" w14:textId="77777777" w:rsidR="006A01C6" w:rsidRDefault="00EC3EE3" w:rsidP="009229E8">
      <w:pPr>
        <w:pStyle w:val="BodyText"/>
        <w:spacing w:before="0" w:after="0"/>
      </w:pPr>
      <w:r>
        <w:rPr>
          <w:b/>
        </w:rPr>
        <w:t>Exploratory analysis 3:</w:t>
      </w:r>
      <w:r>
        <w:t xml:space="preserve"> Additionally, we will compare participants’ decision to prepare based on their responses on the manipulation check. Instead of excluding participants who fail the manipulation check, we will use this as a source of information about how participants’ beliefs affect their decision to prepare, even if they did not pay attention to the manipulation. To do this, we will run a linear regression with gender and participants’ response to the manipulation check as predictors and their time spent preparing as the outcome. Thus, the following linear regression will be run: Time spent preparing = β</w:t>
      </w:r>
      <w:r>
        <w:rPr>
          <w:vertAlign w:val="subscript"/>
        </w:rPr>
        <w:t>1</w:t>
      </w:r>
      <w:r>
        <w:t>*Gender+ β</w:t>
      </w:r>
      <w:r>
        <w:rPr>
          <w:vertAlign w:val="subscript"/>
        </w:rPr>
        <w:t>2</w:t>
      </w:r>
      <w:r>
        <w:t>*Manipulation check + β</w:t>
      </w:r>
      <w:r>
        <w:rPr>
          <w:vertAlign w:val="subscript"/>
        </w:rPr>
        <w:t>3</w:t>
      </w:r>
      <w:r>
        <w:t>*Gender*Manipulation check, where responses that gender differences in performance were not found in the previous study and men will be coded as the reference groups for Manipulation check and Gender, respectively. A positive beta coefficient for the interaction term between the gender variable and the manipulation check responses where participants believed men performed better would suggest that the manipulation elicited greater practice in women when they held that belief. For the interaction between gender and the manipulation check responses where participants believed women performed better, we expect the coefficient will be close to zero and nonsignificant, suggesting that believing women perform better on the task will lead women and men to spend relatively similar amounts of time practicing.</w:t>
      </w:r>
    </w:p>
    <w:p w14:paraId="670731F5" w14:textId="77777777" w:rsidR="006A01C6" w:rsidRDefault="00EC3EE3" w:rsidP="009229E8">
      <w:pPr>
        <w:pStyle w:val="Heading1"/>
        <w:spacing w:before="0"/>
      </w:pPr>
      <w:bookmarkStart w:id="33" w:name="broader-impacts-1"/>
      <w:bookmarkStart w:id="34" w:name="_Toc39138140"/>
      <w:r>
        <w:t>Broader impacts</w:t>
      </w:r>
      <w:bookmarkEnd w:id="33"/>
      <w:bookmarkEnd w:id="34"/>
    </w:p>
    <w:p w14:paraId="670731F6" w14:textId="77777777" w:rsidR="006A01C6" w:rsidRDefault="00EC3EE3" w:rsidP="009229E8">
      <w:pPr>
        <w:pStyle w:val="FirstParagraph"/>
        <w:spacing w:before="0" w:after="0"/>
      </w:pPr>
      <w:r>
        <w:t>By identifying the gender difference in the choice to expend effort before a competition, we are tapping into a possible explanation for the robust gender difference in willingness to compete (</w:t>
      </w:r>
      <w:proofErr w:type="spellStart"/>
      <w:r>
        <w:t>Niederle</w:t>
      </w:r>
      <w:proofErr w:type="spellEnd"/>
      <w:r>
        <w:t xml:space="preserve"> &amp; </w:t>
      </w:r>
      <w:proofErr w:type="spellStart"/>
      <w:r>
        <w:t>Vesterlund</w:t>
      </w:r>
      <w:proofErr w:type="spellEnd"/>
      <w:r>
        <w:t>, 2011): women do not feel sufficiently prepared. Understanding how anticipated effort affects gender differences in competitiveness is important for reducing gender inequality that persists today. When women compete less than their male counterparts because they feel insufficiently prepared, they may be missing crucial economic opportunities, as demonstrated by the evidence suggesting competitiveness is relevant to one’s economic outcomes. For instance, the operationalization of competitiveness used in the current study is directly related to education choices, which is a crucial determinant of one’s career outcomes and may contribute to persistent horizontal job segregation, which in turn, explains a large proportion of the gender wage gap (</w:t>
      </w:r>
      <w:proofErr w:type="spellStart"/>
      <w:r>
        <w:t>Blau</w:t>
      </w:r>
      <w:proofErr w:type="spellEnd"/>
      <w:r>
        <w:t xml:space="preserve"> &amp; Kahn, 2017). Competitiveness predicted Dutch students’ choice of track for the last three years of secondary school (</w:t>
      </w:r>
      <w:proofErr w:type="spellStart"/>
      <w:r>
        <w:t>Buser</w:t>
      </w:r>
      <w:proofErr w:type="spellEnd"/>
      <w:r>
        <w:t xml:space="preserve"> et al., 2014). In further support of the importance of competitiveness in explaining education choices, the gender differences in track choices were reduced by 20% after controlling for competitiveness for individuals matched on objective and subjective measures of ability. Similarly, Zhang (2012) showed that when admission to high school was dependent on performance in an entrance exam in China (</w:t>
      </w:r>
      <w:proofErr w:type="spellStart"/>
      <w:r>
        <w:t>Ninglang</w:t>
      </w:r>
      <w:proofErr w:type="spellEnd"/>
      <w:r>
        <w:t xml:space="preserve"> county), competitive students were more likely to take the entrance exam than their non-competitive counterparts. Additionally, a longitudinal study showed that the standard measure of competitiveness was a positive predictor MBA students’ earnings two years later, where students who chose the more competitive payment scheme earned 9% more (Reuben et al., 2015). The researchers also showed that the gender gap in earnings they observed was partially explained by competitiveness. Overall, these studies demonstrate the relevance of competitiveness to labor market outcomes, so factors that may affect competitiveness, like beliefs about effort, are important for improving gender equality in labor market outcomes. In fact, our research uses relatively unimportant tasks that will not likely affect participants’ labor market outcomes outside of the </w:t>
      </w:r>
      <w:proofErr w:type="spellStart"/>
      <w:r>
        <w:t>MTurk</w:t>
      </w:r>
      <w:proofErr w:type="spellEnd"/>
      <w:r>
        <w:t xml:space="preserve"> studies. Yet, our previous work </w:t>
      </w:r>
      <w:r>
        <w:lastRenderedPageBreak/>
        <w:t xml:space="preserve">shows a gender difference in preparation, suggesting that our study likely </w:t>
      </w:r>
      <w:r>
        <w:rPr>
          <w:i/>
        </w:rPr>
        <w:t>underestimates</w:t>
      </w:r>
      <w:r>
        <w:t xml:space="preserve"> gender differences in choices to prepare for tasks that are more important for one’s career and/or labor market outcomes. In this way, our study is providing a conservative test of the gender differences in effort in the real world.</w:t>
      </w:r>
    </w:p>
    <w:p w14:paraId="670731F7" w14:textId="77777777" w:rsidR="006A01C6" w:rsidRDefault="00EC3EE3" w:rsidP="009229E8">
      <w:pPr>
        <w:pStyle w:val="BodyText"/>
        <w:spacing w:before="0" w:after="0"/>
      </w:pPr>
      <w:r>
        <w:t>Additionally, Keana Richards is dedicated to promoting diversity in STEM both in her service and research activities. Outside of research, Richards serves as a mentor with the University of Pennsylvania College Achievement Program Graduate School Mentoring Initiative, which helps undergraduate students from disadvantaged backgrounds (e.g., first-generation, low-income) apply to graduate school. As research coordinator for the Upward Bound Math and Science Summer Scholars Academy at the University of Pennsylvania, Richards led a group of first-generation and/or low-income high school students in preparing a competitive application for the George Washington Carver Science Fair by providing guidance and feedback, improving their chance of earning a $12,000 academic scholarship from Temple University. Over the course of the 6-week program, Richards cultivated the students’ passion for research by teaching them how to review background literature, generate novel hypotheses and appropriate methodology to test them, analyze results, and craft a scientific poster based upon their research. Finally, the NSF DDIG will improve Richards’ ability to produce high-impact work that will enable her to pursue a tenure-track faculty position as a woman of color. As a tenure-track professor, she will be able to serve as a role model for young women interested in pursuing science and will actively seek opportunities to include research assistants who are underrepresented in STEM.</w:t>
      </w:r>
    </w:p>
    <w:p w14:paraId="670731F8" w14:textId="77777777" w:rsidR="006A01C6" w:rsidRDefault="00EC3EE3" w:rsidP="009229E8">
      <w:pPr>
        <w:pStyle w:val="Heading1"/>
        <w:spacing w:before="0"/>
      </w:pPr>
      <w:bookmarkStart w:id="35" w:name="future-directions"/>
      <w:bookmarkStart w:id="36" w:name="_Toc39138141"/>
      <w:r>
        <w:t>Future directions</w:t>
      </w:r>
      <w:bookmarkEnd w:id="35"/>
      <w:bookmarkEnd w:id="36"/>
    </w:p>
    <w:p w14:paraId="670731F9" w14:textId="77777777" w:rsidR="006A01C6" w:rsidRDefault="00EC3EE3" w:rsidP="009229E8">
      <w:pPr>
        <w:pStyle w:val="FirstParagraph"/>
        <w:spacing w:before="0" w:after="0"/>
      </w:pPr>
      <w:r>
        <w:t xml:space="preserve">A follow-up study based on these experiments can explore whether the anticipated gender difference in choice to prepare during competition persists even when there is a charge for preparing. The results of this follow-up study have the potential to help us understand global gender gaps. This work is also critical because if women do not feel as though they are sufficiently prepared before entering competitive industries, jobs, or even majors in college, it may cost them in terms of unnecessary preparation time, and they may become less interested in participating in these endeavors. This would suggest women’s greater willingness to prepare before they enter a competition may actually be harming them and their economic outcomes. Also, if our hypotheses are supported, our research raises the question: Which gender is preparing more (or less) than needed? This should be addressed in research by testing whether gender and time chosen to prepare interact to affect a participants’ probability of winning (see </w:t>
      </w:r>
      <w:proofErr w:type="spellStart"/>
      <w:r>
        <w:t>Niederle</w:t>
      </w:r>
      <w:proofErr w:type="spellEnd"/>
      <w:r>
        <w:t xml:space="preserve"> &amp; </w:t>
      </w:r>
      <w:proofErr w:type="spellStart"/>
      <w:r>
        <w:t>Vesterlund</w:t>
      </w:r>
      <w:proofErr w:type="spellEnd"/>
      <w:r>
        <w:t>, 2007).</w:t>
      </w:r>
    </w:p>
    <w:p w14:paraId="670731FA" w14:textId="77777777" w:rsidR="006A01C6" w:rsidRDefault="00EC3EE3" w:rsidP="009229E8">
      <w:pPr>
        <w:pStyle w:val="Heading1"/>
        <w:spacing w:before="0"/>
      </w:pPr>
      <w:bookmarkStart w:id="37" w:name="sample-size-justification"/>
      <w:bookmarkStart w:id="38" w:name="_Toc39138142"/>
      <w:r>
        <w:t>Sample size justification</w:t>
      </w:r>
      <w:bookmarkEnd w:id="37"/>
      <w:bookmarkEnd w:id="38"/>
    </w:p>
    <w:p w14:paraId="670731FB" w14:textId="77777777" w:rsidR="006A01C6" w:rsidRDefault="00EC3EE3" w:rsidP="009229E8">
      <w:pPr>
        <w:pStyle w:val="FirstParagraph"/>
        <w:spacing w:before="0" w:after="0"/>
      </w:pPr>
      <w:r>
        <w:t xml:space="preserve">We estimate power for the hypothesized interaction effect in the primary analyses, since this will likely to be the effect with the lowest power (see </w:t>
      </w:r>
      <w:hyperlink r:id="rId7">
        <w:proofErr w:type="spellStart"/>
        <w:r>
          <w:rPr>
            <w:rStyle w:val="Hyperlink"/>
          </w:rPr>
          <w:t>Simonsohn</w:t>
        </w:r>
        <w:proofErr w:type="spellEnd"/>
      </w:hyperlink>
      <w:r>
        <w:t xml:space="preserve"> and </w:t>
      </w:r>
      <w:hyperlink r:id="rId8">
        <w:proofErr w:type="spellStart"/>
        <w:r>
          <w:rPr>
            <w:rStyle w:val="Hyperlink"/>
          </w:rPr>
          <w:t>Giner-Sorolla</w:t>
        </w:r>
        <w:proofErr w:type="spellEnd"/>
      </w:hyperlink>
      <w:r>
        <w:t>).</w:t>
      </w:r>
    </w:p>
    <w:p w14:paraId="670731FC" w14:textId="58B5E89F" w:rsidR="006A01C6" w:rsidRDefault="00EC3EE3" w:rsidP="009229E8">
      <w:pPr>
        <w:pStyle w:val="BodyText"/>
        <w:spacing w:before="0" w:after="0"/>
      </w:pPr>
      <w:r>
        <w:t>We ran 1000 simulations while varying the sample size (</w:t>
      </w:r>
      <w:r>
        <w:rPr>
          <w:i/>
        </w:rPr>
        <w:t>N</w:t>
      </w:r>
      <w:r>
        <w:t xml:space="preserve"> = 2000, 3000, 3250, 3500) and the effect size for the interaction effect (</w:t>
      </w:r>
      <w:r>
        <w:rPr>
          <w:i/>
        </w:rPr>
        <w:t>b</w:t>
      </w:r>
      <w:r>
        <w:t xml:space="preserve"> = .2, .3, .4) (see below). Based on these simulated estimates, we will recruit 3250 participants to achieve 83.7% power for a relatively small effect (</w:t>
      </w:r>
      <w:r>
        <w:rPr>
          <w:i/>
        </w:rPr>
        <w:t>b</w:t>
      </w:r>
      <w:r>
        <w:t xml:space="preserve"> = .2).</w:t>
      </w:r>
    </w:p>
    <w:p w14:paraId="55A9F5D3" w14:textId="7A324837" w:rsidR="00EE2CAE" w:rsidRDefault="00EE2CAE" w:rsidP="009229E8">
      <w:pPr>
        <w:pStyle w:val="BodyText"/>
        <w:spacing w:before="0" w:after="0"/>
      </w:pPr>
    </w:p>
    <w:p w14:paraId="0F0FCE86" w14:textId="77777777" w:rsidR="00EE2CAE" w:rsidRPr="0065712F" w:rsidRDefault="00EE2CAE" w:rsidP="0065712F">
      <w:pPr>
        <w:pStyle w:val="Compact"/>
      </w:pPr>
      <w:r w:rsidRPr="0065712F">
        <w:t>I have taught 200 students in Social Psychology about the principles of intergroup biases for 1.5 hour invited lectures (4/9/2019 &amp; 11/7/2019), including many concepts which overlap with the current research.</w:t>
      </w:r>
    </w:p>
    <w:p w14:paraId="6C72A246" w14:textId="77777777" w:rsidR="00EE2CAE" w:rsidRPr="0065712F" w:rsidRDefault="00EE2CAE" w:rsidP="0065712F">
      <w:pPr>
        <w:pStyle w:val="Compact"/>
      </w:pPr>
      <w:r w:rsidRPr="0065712F">
        <w:t>For the past 2 years, I have been serving as a mentor for underrepresented students in STEM during my appointment at the University of Pennsylvania. As a mentor for the College Achievement Program, I helped two Black female students navigate the graduate school application process during one-on-one monthly meetings. Additionally, I have mentored a female honor’s thesis student in literature reviewing, Qualtrics survey construction, hypothesis testing using R, and presenting results of analyses.</w:t>
      </w:r>
    </w:p>
    <w:p w14:paraId="04C84F18" w14:textId="77777777" w:rsidR="00EE2CAE" w:rsidRPr="0065712F" w:rsidRDefault="00EE2CAE" w:rsidP="0065712F">
      <w:pPr>
        <w:pStyle w:val="Compact"/>
      </w:pPr>
      <w:r w:rsidRPr="0065712F">
        <w:t>I organized and led Data Management training in R for 10 research assistants in the Social and Behavioral Science Initiative (2019). During the training, I taught students the principles of cleaning data, including data selection, filtering, arrangement, mutation, and summarization, using the tidy packages in R.</w:t>
      </w:r>
    </w:p>
    <w:p w14:paraId="76094D87" w14:textId="77777777" w:rsidR="00EE2CAE" w:rsidRDefault="00EE2CAE" w:rsidP="009229E8">
      <w:pPr>
        <w:pStyle w:val="BodyText"/>
        <w:spacing w:before="0" w:after="0"/>
      </w:pPr>
    </w:p>
    <w:p w14:paraId="670731FD" w14:textId="77777777" w:rsidR="006A01C6" w:rsidRDefault="00EC3EE3" w:rsidP="009229E8">
      <w:pPr>
        <w:pStyle w:val="BodyText"/>
        <w:spacing w:before="0" w:after="0"/>
      </w:pPr>
      <w:r>
        <w:rPr>
          <w:noProof/>
        </w:rPr>
        <w:drawing>
          <wp:inline distT="0" distB="0" distL="0" distR="0" wp14:anchorId="67073267" wp14:editId="67073268">
            <wp:extent cx="5943600" cy="3668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sf_insertimage_1.png"/>
                    <pic:cNvPicPr>
                      <a:picLocks noChangeAspect="1" noChangeArrowheads="1"/>
                    </pic:cNvPicPr>
                  </pic:nvPicPr>
                  <pic:blipFill>
                    <a:blip r:embed="rId9"/>
                    <a:stretch>
                      <a:fillRect/>
                    </a:stretch>
                  </pic:blipFill>
                  <pic:spPr bwMode="auto">
                    <a:xfrm>
                      <a:off x="0" y="0"/>
                      <a:ext cx="5943600" cy="3668050"/>
                    </a:xfrm>
                    <a:prstGeom prst="rect">
                      <a:avLst/>
                    </a:prstGeom>
                    <a:noFill/>
                    <a:ln w="9525">
                      <a:noFill/>
                      <a:headEnd/>
                      <a:tailEnd/>
                    </a:ln>
                  </pic:spPr>
                </pic:pic>
              </a:graphicData>
            </a:graphic>
          </wp:inline>
        </w:drawing>
      </w:r>
    </w:p>
    <w:p w14:paraId="670731FE" w14:textId="77777777" w:rsidR="006A01C6" w:rsidRDefault="00EC3EE3" w:rsidP="009229E8">
      <w:pPr>
        <w:pStyle w:val="Heading1"/>
        <w:spacing w:before="0"/>
      </w:pPr>
      <w:bookmarkStart w:id="39" w:name="budget-justification"/>
      <w:bookmarkStart w:id="40" w:name="_Toc39138143"/>
      <w:r>
        <w:t>Budget justification</w:t>
      </w:r>
      <w:bookmarkEnd w:id="39"/>
      <w:bookmarkEnd w:id="40"/>
    </w:p>
    <w:p w14:paraId="670731FF" w14:textId="77777777" w:rsidR="006A01C6" w:rsidRDefault="00EC3EE3" w:rsidP="009229E8">
      <w:pPr>
        <w:pStyle w:val="FirstParagraph"/>
        <w:spacing w:before="0" w:after="0"/>
      </w:pPr>
      <w:r>
        <w:t xml:space="preserve">Funds from the NSF DDIG will be dedicated to paying participants. Each participant will earn $2.50 as a guaranteed payment. There are two budget costs that will vary based on the participants’ decisions and performance. The first is the bonus payment for the task itself, which will vary based on the condition participants’ are assigned to (i.e., piece-rate and tournament payment) and their performance. We are basing their average task performance on participants from our preliminary studies. Additionally, participants’ bonus earnings from the follow-up questions about confidence will depend on their accuracy, so we use the average accuracy of participants from previous studies on the confidence measure to anticipate the costs for the confidence measure. Finally, Amazon Mechanical Turk charges a fee for using its services (20% of each worker’s total compensation) and </w:t>
      </w:r>
      <w:proofErr w:type="spellStart"/>
      <w:r>
        <w:t>Turkprime</w:t>
      </w:r>
      <w:proofErr w:type="spellEnd"/>
      <w:r>
        <w:t xml:space="preserve"> charges $.02 + 5% of the workers’ compensation for each participant. Dr. </w:t>
      </w:r>
      <w:proofErr w:type="spellStart"/>
      <w:r>
        <w:t>Apicella</w:t>
      </w:r>
      <w:proofErr w:type="spellEnd"/>
      <w:r>
        <w:t xml:space="preserve"> offers to cover the remaining costs of running the experiments that are not funded by the NSF.</w:t>
      </w:r>
    </w:p>
    <w:tbl>
      <w:tblPr>
        <w:tblStyle w:val="PlainTable5"/>
        <w:tblW w:w="5000" w:type="pct"/>
        <w:tblLayout w:type="fixed"/>
        <w:tblLook w:val="07E0" w:firstRow="1" w:lastRow="1" w:firstColumn="1" w:lastColumn="1" w:noHBand="1" w:noVBand="1"/>
      </w:tblPr>
      <w:tblGrid>
        <w:gridCol w:w="1079"/>
        <w:gridCol w:w="631"/>
        <w:gridCol w:w="2007"/>
        <w:gridCol w:w="1554"/>
        <w:gridCol w:w="1257"/>
        <w:gridCol w:w="1621"/>
        <w:gridCol w:w="1211"/>
      </w:tblGrid>
      <w:tr w:rsidR="006A01C6" w:rsidRPr="00471D38" w14:paraId="67073207" w14:textId="77777777" w:rsidTr="00F008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7" w:type="pct"/>
          </w:tcPr>
          <w:p w14:paraId="67073200" w14:textId="77777777" w:rsidR="006A01C6" w:rsidRPr="0065712F" w:rsidRDefault="00EC3EE3" w:rsidP="0065712F">
            <w:pPr>
              <w:pStyle w:val="Compact"/>
            </w:pPr>
            <w:r w:rsidRPr="0065712F">
              <w:t>Study</w:t>
            </w:r>
          </w:p>
        </w:tc>
        <w:tc>
          <w:tcPr>
            <w:tcW w:w="337" w:type="pct"/>
          </w:tcPr>
          <w:p w14:paraId="67073201" w14:textId="77777777" w:rsidR="006A01C6" w:rsidRPr="0065712F" w:rsidRDefault="00EC3EE3" w:rsidP="0065712F">
            <w:pPr>
              <w:pStyle w:val="Compact"/>
              <w:cnfStyle w:val="100000000000" w:firstRow="1" w:lastRow="0" w:firstColumn="0" w:lastColumn="0" w:oddVBand="0" w:evenVBand="0" w:oddHBand="0" w:evenHBand="0" w:firstRowFirstColumn="0" w:firstRowLastColumn="0" w:lastRowFirstColumn="0" w:lastRowLastColumn="0"/>
            </w:pPr>
            <w:r w:rsidRPr="0065712F">
              <w:t>N</w:t>
            </w:r>
          </w:p>
        </w:tc>
        <w:tc>
          <w:tcPr>
            <w:tcW w:w="2007" w:type="dxa"/>
          </w:tcPr>
          <w:p w14:paraId="67073202" w14:textId="77777777" w:rsidR="006A01C6" w:rsidRPr="0065712F" w:rsidRDefault="00EC3EE3" w:rsidP="0065712F">
            <w:pPr>
              <w:pStyle w:val="Compact"/>
              <w:cnfStyle w:val="100000000000" w:firstRow="1" w:lastRow="0" w:firstColumn="0" w:lastColumn="0" w:oddVBand="0" w:evenVBand="0" w:oddHBand="0" w:evenHBand="0" w:firstRowFirstColumn="0" w:firstRowLastColumn="0" w:lastRowFirstColumn="0" w:lastRowLastColumn="0"/>
            </w:pPr>
            <w:r w:rsidRPr="0065712F">
              <w:t>Guaranteed payment</w:t>
            </w:r>
          </w:p>
        </w:tc>
        <w:tc>
          <w:tcPr>
            <w:tcW w:w="1554" w:type="dxa"/>
          </w:tcPr>
          <w:p w14:paraId="67073203" w14:textId="77777777" w:rsidR="006A01C6" w:rsidRPr="0065712F" w:rsidRDefault="00EC3EE3" w:rsidP="0065712F">
            <w:pPr>
              <w:pStyle w:val="Compact"/>
              <w:cnfStyle w:val="100000000000" w:firstRow="1" w:lastRow="0" w:firstColumn="0" w:lastColumn="0" w:oddVBand="0" w:evenVBand="0" w:oddHBand="0" w:evenHBand="0" w:firstRowFirstColumn="0" w:firstRowLastColumn="0" w:lastRowFirstColumn="0" w:lastRowLastColumn="0"/>
            </w:pPr>
            <w:r w:rsidRPr="0065712F">
              <w:t>Bonus payment</w:t>
            </w:r>
          </w:p>
        </w:tc>
        <w:tc>
          <w:tcPr>
            <w:tcW w:w="1257" w:type="dxa"/>
          </w:tcPr>
          <w:p w14:paraId="67073204" w14:textId="77777777" w:rsidR="006A01C6" w:rsidRPr="0065712F" w:rsidRDefault="00EC3EE3" w:rsidP="0065712F">
            <w:pPr>
              <w:pStyle w:val="Compact"/>
              <w:cnfStyle w:val="100000000000" w:firstRow="1" w:lastRow="0" w:firstColumn="0" w:lastColumn="0" w:oddVBand="0" w:evenVBand="0" w:oddHBand="0" w:evenHBand="0" w:firstRowFirstColumn="0" w:firstRowLastColumn="0" w:lastRowFirstColumn="0" w:lastRowLastColumn="0"/>
            </w:pPr>
            <w:proofErr w:type="spellStart"/>
            <w:r w:rsidRPr="0065712F">
              <w:t>MTurk</w:t>
            </w:r>
            <w:proofErr w:type="spellEnd"/>
            <w:r w:rsidRPr="0065712F">
              <w:t xml:space="preserve"> fees</w:t>
            </w:r>
          </w:p>
        </w:tc>
        <w:tc>
          <w:tcPr>
            <w:tcW w:w="1621" w:type="dxa"/>
          </w:tcPr>
          <w:p w14:paraId="67073205" w14:textId="77777777" w:rsidR="006A01C6" w:rsidRPr="0065712F" w:rsidRDefault="00EC3EE3" w:rsidP="0065712F">
            <w:pPr>
              <w:pStyle w:val="Compact"/>
              <w:cnfStyle w:val="100000000000" w:firstRow="1" w:lastRow="0" w:firstColumn="0" w:lastColumn="0" w:oddVBand="0" w:evenVBand="0" w:oddHBand="0" w:evenHBand="0" w:firstRowFirstColumn="0" w:firstRowLastColumn="0" w:lastRowFirstColumn="0" w:lastRowLastColumn="0"/>
            </w:pPr>
            <w:proofErr w:type="spellStart"/>
            <w:r w:rsidRPr="0065712F">
              <w:t>Turkprime</w:t>
            </w:r>
            <w:proofErr w:type="spellEnd"/>
            <w:r w:rsidRPr="0065712F">
              <w:t xml:space="preserve"> fees</w:t>
            </w:r>
          </w:p>
        </w:tc>
        <w:tc>
          <w:tcPr>
            <w:cnfStyle w:val="000100001000" w:firstRow="0" w:lastRow="0" w:firstColumn="0" w:lastColumn="1" w:oddVBand="0" w:evenVBand="0" w:oddHBand="0" w:evenHBand="0" w:firstRowFirstColumn="0" w:firstRowLastColumn="1" w:lastRowFirstColumn="0" w:lastRowLastColumn="0"/>
            <w:tcW w:w="1211" w:type="dxa"/>
          </w:tcPr>
          <w:p w14:paraId="67073206" w14:textId="77777777" w:rsidR="006A01C6" w:rsidRPr="0065712F" w:rsidRDefault="00EC3EE3" w:rsidP="0065712F">
            <w:pPr>
              <w:pStyle w:val="Compact"/>
            </w:pPr>
            <w:r w:rsidRPr="0065712F">
              <w:t>Total cost</w:t>
            </w:r>
          </w:p>
        </w:tc>
      </w:tr>
      <w:tr w:rsidR="006A01C6" w:rsidRPr="00471D38" w14:paraId="6707320F" w14:textId="77777777" w:rsidTr="00F0088C">
        <w:tc>
          <w:tcPr>
            <w:cnfStyle w:val="001000000000" w:firstRow="0" w:lastRow="0" w:firstColumn="1" w:lastColumn="0" w:oddVBand="0" w:evenVBand="0" w:oddHBand="0" w:evenHBand="0" w:firstRowFirstColumn="0" w:firstRowLastColumn="0" w:lastRowFirstColumn="0" w:lastRowLastColumn="0"/>
            <w:tcW w:w="577" w:type="pct"/>
          </w:tcPr>
          <w:p w14:paraId="67073208" w14:textId="77777777" w:rsidR="006A01C6" w:rsidRPr="0065712F" w:rsidRDefault="00EC3EE3" w:rsidP="0065712F">
            <w:pPr>
              <w:pStyle w:val="Compact"/>
            </w:pPr>
            <w:r w:rsidRPr="0065712F">
              <w:t>Study 1</w:t>
            </w:r>
          </w:p>
        </w:tc>
        <w:tc>
          <w:tcPr>
            <w:tcW w:w="337" w:type="pct"/>
          </w:tcPr>
          <w:p w14:paraId="67073209"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3250</w:t>
            </w:r>
          </w:p>
        </w:tc>
        <w:tc>
          <w:tcPr>
            <w:tcW w:w="2007" w:type="dxa"/>
          </w:tcPr>
          <w:p w14:paraId="6707320A"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8125</w:t>
            </w:r>
          </w:p>
        </w:tc>
        <w:tc>
          <w:tcPr>
            <w:tcW w:w="1554" w:type="dxa"/>
          </w:tcPr>
          <w:p w14:paraId="6707320B"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4502.67</w:t>
            </w:r>
          </w:p>
        </w:tc>
        <w:tc>
          <w:tcPr>
            <w:tcW w:w="1257" w:type="dxa"/>
          </w:tcPr>
          <w:p w14:paraId="6707320C"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2525.53</w:t>
            </w:r>
          </w:p>
        </w:tc>
        <w:tc>
          <w:tcPr>
            <w:tcW w:w="1621" w:type="dxa"/>
          </w:tcPr>
          <w:p w14:paraId="6707320D"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614.29</w:t>
            </w:r>
          </w:p>
        </w:tc>
        <w:tc>
          <w:tcPr>
            <w:cnfStyle w:val="000100000000" w:firstRow="0" w:lastRow="0" w:firstColumn="0" w:lastColumn="1" w:oddVBand="0" w:evenVBand="0" w:oddHBand="0" w:evenHBand="0" w:firstRowFirstColumn="0" w:firstRowLastColumn="0" w:lastRowFirstColumn="0" w:lastRowLastColumn="0"/>
            <w:tcW w:w="1211" w:type="dxa"/>
          </w:tcPr>
          <w:p w14:paraId="6707320E" w14:textId="77777777" w:rsidR="006A01C6" w:rsidRPr="0065712F" w:rsidRDefault="00EC3EE3" w:rsidP="0065712F">
            <w:pPr>
              <w:pStyle w:val="Compact"/>
            </w:pPr>
            <w:r w:rsidRPr="0065712F">
              <w:t>15767.49</w:t>
            </w:r>
          </w:p>
        </w:tc>
      </w:tr>
      <w:tr w:rsidR="006A01C6" w:rsidRPr="00471D38" w14:paraId="67073217" w14:textId="77777777" w:rsidTr="00F0088C">
        <w:tc>
          <w:tcPr>
            <w:cnfStyle w:val="001000000000" w:firstRow="0" w:lastRow="0" w:firstColumn="1" w:lastColumn="0" w:oddVBand="0" w:evenVBand="0" w:oddHBand="0" w:evenHBand="0" w:firstRowFirstColumn="0" w:firstRowLastColumn="0" w:lastRowFirstColumn="0" w:lastRowLastColumn="0"/>
            <w:tcW w:w="577" w:type="pct"/>
          </w:tcPr>
          <w:p w14:paraId="67073210" w14:textId="77777777" w:rsidR="006A01C6" w:rsidRPr="0065712F" w:rsidRDefault="00EC3EE3" w:rsidP="0065712F">
            <w:pPr>
              <w:pStyle w:val="Compact"/>
            </w:pPr>
            <w:r w:rsidRPr="0065712F">
              <w:t>Study 2</w:t>
            </w:r>
          </w:p>
        </w:tc>
        <w:tc>
          <w:tcPr>
            <w:tcW w:w="337" w:type="pct"/>
          </w:tcPr>
          <w:p w14:paraId="67073211"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3250</w:t>
            </w:r>
          </w:p>
        </w:tc>
        <w:tc>
          <w:tcPr>
            <w:tcW w:w="2007" w:type="dxa"/>
          </w:tcPr>
          <w:p w14:paraId="67073212"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8125</w:t>
            </w:r>
          </w:p>
        </w:tc>
        <w:tc>
          <w:tcPr>
            <w:tcW w:w="1554" w:type="dxa"/>
          </w:tcPr>
          <w:p w14:paraId="67073213"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4705.80</w:t>
            </w:r>
          </w:p>
        </w:tc>
        <w:tc>
          <w:tcPr>
            <w:tcW w:w="1257" w:type="dxa"/>
          </w:tcPr>
          <w:p w14:paraId="67073214"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2566.16</w:t>
            </w:r>
          </w:p>
        </w:tc>
        <w:tc>
          <w:tcPr>
            <w:tcW w:w="1621" w:type="dxa"/>
          </w:tcPr>
          <w:p w14:paraId="67073215" w14:textId="77777777" w:rsidR="006A01C6" w:rsidRPr="00471D38" w:rsidRDefault="00EC3EE3" w:rsidP="0065712F">
            <w:pPr>
              <w:pStyle w:val="Compact"/>
              <w:cnfStyle w:val="000000000000" w:firstRow="0" w:lastRow="0" w:firstColumn="0" w:lastColumn="0" w:oddVBand="0" w:evenVBand="0" w:oddHBand="0" w:evenHBand="0" w:firstRowFirstColumn="0" w:firstRowLastColumn="0" w:lastRowFirstColumn="0" w:lastRowLastColumn="0"/>
            </w:pPr>
            <w:r w:rsidRPr="00471D38">
              <w:t>619.36</w:t>
            </w:r>
          </w:p>
        </w:tc>
        <w:tc>
          <w:tcPr>
            <w:cnfStyle w:val="000100000000" w:firstRow="0" w:lastRow="0" w:firstColumn="0" w:lastColumn="1" w:oddVBand="0" w:evenVBand="0" w:oddHBand="0" w:evenHBand="0" w:firstRowFirstColumn="0" w:firstRowLastColumn="0" w:lastRowFirstColumn="0" w:lastRowLastColumn="0"/>
            <w:tcW w:w="1211" w:type="dxa"/>
          </w:tcPr>
          <w:p w14:paraId="67073216" w14:textId="77777777" w:rsidR="006A01C6" w:rsidRPr="0065712F" w:rsidRDefault="00EC3EE3" w:rsidP="0065712F">
            <w:pPr>
              <w:pStyle w:val="Compact"/>
            </w:pPr>
            <w:r w:rsidRPr="0065712F">
              <w:t>16016.32</w:t>
            </w:r>
          </w:p>
        </w:tc>
      </w:tr>
      <w:tr w:rsidR="006A01C6" w:rsidRPr="00471D38" w14:paraId="6707321F" w14:textId="77777777" w:rsidTr="00F0088C">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77" w:type="pct"/>
          </w:tcPr>
          <w:p w14:paraId="67073218" w14:textId="77777777" w:rsidR="006A01C6" w:rsidRPr="0065712F" w:rsidRDefault="00EC3EE3" w:rsidP="0065712F">
            <w:pPr>
              <w:pStyle w:val="Compact"/>
            </w:pPr>
            <w:r w:rsidRPr="0065712F">
              <w:t>Total</w:t>
            </w:r>
          </w:p>
        </w:tc>
        <w:tc>
          <w:tcPr>
            <w:tcW w:w="337" w:type="pct"/>
          </w:tcPr>
          <w:p w14:paraId="67073219" w14:textId="77777777" w:rsidR="006A01C6" w:rsidRPr="0065712F" w:rsidRDefault="00EC3EE3" w:rsidP="0065712F">
            <w:pPr>
              <w:pStyle w:val="Compact"/>
              <w:cnfStyle w:val="010000000000" w:firstRow="0" w:lastRow="1" w:firstColumn="0" w:lastColumn="0" w:oddVBand="0" w:evenVBand="0" w:oddHBand="0" w:evenHBand="0" w:firstRowFirstColumn="0" w:firstRowLastColumn="0" w:lastRowFirstColumn="0" w:lastRowLastColumn="0"/>
            </w:pPr>
            <w:r w:rsidRPr="0065712F">
              <w:t>65</w:t>
            </w:r>
            <w:r w:rsidRPr="0065712F">
              <w:lastRenderedPageBreak/>
              <w:t>00</w:t>
            </w:r>
          </w:p>
        </w:tc>
        <w:tc>
          <w:tcPr>
            <w:tcW w:w="2007" w:type="dxa"/>
          </w:tcPr>
          <w:p w14:paraId="6707321A" w14:textId="77777777" w:rsidR="006A01C6" w:rsidRPr="0065712F" w:rsidRDefault="00EC3EE3" w:rsidP="0065712F">
            <w:pPr>
              <w:pStyle w:val="Compact"/>
              <w:cnfStyle w:val="010000000000" w:firstRow="0" w:lastRow="1" w:firstColumn="0" w:lastColumn="0" w:oddVBand="0" w:evenVBand="0" w:oddHBand="0" w:evenHBand="0" w:firstRowFirstColumn="0" w:firstRowLastColumn="0" w:lastRowFirstColumn="0" w:lastRowLastColumn="0"/>
            </w:pPr>
            <w:r w:rsidRPr="0065712F">
              <w:lastRenderedPageBreak/>
              <w:t>16250</w:t>
            </w:r>
          </w:p>
        </w:tc>
        <w:tc>
          <w:tcPr>
            <w:tcW w:w="1554" w:type="dxa"/>
          </w:tcPr>
          <w:p w14:paraId="6707321B" w14:textId="77777777" w:rsidR="006A01C6" w:rsidRPr="0065712F" w:rsidRDefault="00EC3EE3" w:rsidP="0065712F">
            <w:pPr>
              <w:pStyle w:val="Compact"/>
              <w:cnfStyle w:val="010000000000" w:firstRow="0" w:lastRow="1" w:firstColumn="0" w:lastColumn="0" w:oddVBand="0" w:evenVBand="0" w:oddHBand="0" w:evenHBand="0" w:firstRowFirstColumn="0" w:firstRowLastColumn="0" w:lastRowFirstColumn="0" w:lastRowLastColumn="0"/>
            </w:pPr>
            <w:r w:rsidRPr="0065712F">
              <w:t>9208.46</w:t>
            </w:r>
          </w:p>
        </w:tc>
        <w:tc>
          <w:tcPr>
            <w:tcW w:w="1257" w:type="dxa"/>
          </w:tcPr>
          <w:p w14:paraId="6707321C" w14:textId="77777777" w:rsidR="006A01C6" w:rsidRPr="0065712F" w:rsidRDefault="00EC3EE3" w:rsidP="0065712F">
            <w:pPr>
              <w:pStyle w:val="Compact"/>
              <w:cnfStyle w:val="010000000000" w:firstRow="0" w:lastRow="1" w:firstColumn="0" w:lastColumn="0" w:oddVBand="0" w:evenVBand="0" w:oddHBand="0" w:evenHBand="0" w:firstRowFirstColumn="0" w:firstRowLastColumn="0" w:lastRowFirstColumn="0" w:lastRowLastColumn="0"/>
            </w:pPr>
            <w:r w:rsidRPr="0065712F">
              <w:t>5091.69</w:t>
            </w:r>
          </w:p>
        </w:tc>
        <w:tc>
          <w:tcPr>
            <w:tcW w:w="1621" w:type="dxa"/>
          </w:tcPr>
          <w:p w14:paraId="6707321D" w14:textId="77777777" w:rsidR="006A01C6" w:rsidRPr="0065712F" w:rsidRDefault="00EC3EE3" w:rsidP="0065712F">
            <w:pPr>
              <w:pStyle w:val="Compact"/>
              <w:cnfStyle w:val="010000000000" w:firstRow="0" w:lastRow="1" w:firstColumn="0" w:lastColumn="0" w:oddVBand="0" w:evenVBand="0" w:oddHBand="0" w:evenHBand="0" w:firstRowFirstColumn="0" w:firstRowLastColumn="0" w:lastRowFirstColumn="0" w:lastRowLastColumn="0"/>
            </w:pPr>
            <w:r w:rsidRPr="0065712F">
              <w:t>1233.65</w:t>
            </w:r>
          </w:p>
        </w:tc>
        <w:tc>
          <w:tcPr>
            <w:cnfStyle w:val="000100000010" w:firstRow="0" w:lastRow="0" w:firstColumn="0" w:lastColumn="1" w:oddVBand="0" w:evenVBand="0" w:oddHBand="0" w:evenHBand="0" w:firstRowFirstColumn="0" w:firstRowLastColumn="0" w:lastRowFirstColumn="0" w:lastRowLastColumn="1"/>
            <w:tcW w:w="1211" w:type="dxa"/>
          </w:tcPr>
          <w:p w14:paraId="6707321E" w14:textId="77777777" w:rsidR="006A01C6" w:rsidRPr="0065712F" w:rsidRDefault="00EC3EE3" w:rsidP="0065712F">
            <w:pPr>
              <w:pStyle w:val="Compact"/>
            </w:pPr>
            <w:r w:rsidRPr="0065712F">
              <w:t>31783.81</w:t>
            </w:r>
          </w:p>
        </w:tc>
      </w:tr>
    </w:tbl>
    <w:p w14:paraId="67073220" w14:textId="77777777" w:rsidR="006A01C6" w:rsidRDefault="00EC3EE3" w:rsidP="009229E8">
      <w:pPr>
        <w:pStyle w:val="Heading1"/>
        <w:spacing w:before="0"/>
      </w:pPr>
      <w:bookmarkStart w:id="41" w:name="facilities-equipment-and-other-resources"/>
      <w:bookmarkStart w:id="42" w:name="_Toc39138144"/>
      <w:r>
        <w:t>Facilities, equipment, and other resources</w:t>
      </w:r>
      <w:bookmarkEnd w:id="41"/>
      <w:bookmarkEnd w:id="42"/>
    </w:p>
    <w:p w14:paraId="67073221" w14:textId="77777777" w:rsidR="006A01C6" w:rsidRDefault="00EC3EE3" w:rsidP="009229E8">
      <w:pPr>
        <w:pStyle w:val="FirstParagraph"/>
        <w:spacing w:before="0" w:after="0"/>
      </w:pPr>
      <w:r>
        <w:t>Keana Richards has support from several knowledgeable mentors, including her adviser, Dr. </w:t>
      </w:r>
      <w:proofErr w:type="spellStart"/>
      <w:r>
        <w:t>Apicella</w:t>
      </w:r>
      <w:proofErr w:type="spellEnd"/>
      <w:r>
        <w:t>, who has extensive experience conducting research in behavioral economics, especially with regards to gender and competition (</w:t>
      </w:r>
      <w:proofErr w:type="spellStart"/>
      <w:r>
        <w:t>Apicella</w:t>
      </w:r>
      <w:proofErr w:type="spellEnd"/>
      <w:r>
        <w:t xml:space="preserve"> et al., 2011, 2020; C. L. </w:t>
      </w:r>
      <w:proofErr w:type="spellStart"/>
      <w:r>
        <w:t>Apicella</w:t>
      </w:r>
      <w:proofErr w:type="spellEnd"/>
      <w:r>
        <w:t xml:space="preserve">, </w:t>
      </w:r>
      <w:proofErr w:type="spellStart"/>
      <w:r>
        <w:t>Demiral</w:t>
      </w:r>
      <w:proofErr w:type="spellEnd"/>
      <w:r>
        <w:t xml:space="preserve">, et al., 2017; C. L. </w:t>
      </w:r>
      <w:proofErr w:type="spellStart"/>
      <w:r>
        <w:t>Apicella</w:t>
      </w:r>
      <w:proofErr w:type="spellEnd"/>
      <w:r>
        <w:t xml:space="preserve">, Crittenden, et al., 2017; </w:t>
      </w:r>
      <w:proofErr w:type="spellStart"/>
      <w:r>
        <w:t>Apicella</w:t>
      </w:r>
      <w:proofErr w:type="spellEnd"/>
      <w:r>
        <w:t xml:space="preserve"> &amp; </w:t>
      </w:r>
      <w:proofErr w:type="spellStart"/>
      <w:r>
        <w:t>Dreber</w:t>
      </w:r>
      <w:proofErr w:type="spellEnd"/>
      <w:r>
        <w:t>, 2015). On top of that, Dr. </w:t>
      </w:r>
      <w:proofErr w:type="spellStart"/>
      <w:r>
        <w:t>Apicella</w:t>
      </w:r>
      <w:proofErr w:type="spellEnd"/>
      <w:r>
        <w:t xml:space="preserve"> is co-director of the Social and Behavioral Science Initiative (SBSI), which fosters interdisciplinary interaction by hosting weekly brown bags and has opportunities for funding graduate research. Throughout her dissertation, Richards will receive feedback from an interdisciplinary committee, including Dr. </w:t>
      </w:r>
      <w:proofErr w:type="spellStart"/>
      <w:r>
        <w:t>Apicella</w:t>
      </w:r>
      <w:proofErr w:type="spellEnd"/>
      <w:r>
        <w:t>, Associate Professor of Psychology, Dr. Gideon Nave, Assistant Professor of Marketing, Dr. Emily Falk, Professor of Communication, Psychology, and Marketing, and Dr. Geoffrey Goodwin, Associate Professor of Psychology.</w:t>
      </w:r>
    </w:p>
    <w:p w14:paraId="67073222" w14:textId="77777777" w:rsidR="006A01C6" w:rsidRDefault="00EC3EE3" w:rsidP="009229E8">
      <w:pPr>
        <w:pStyle w:val="BodyText"/>
        <w:spacing w:before="0" w:after="0"/>
      </w:pPr>
      <w:r>
        <w:t>All studies will be completed on Qualtrics survey software, which both Dr. </w:t>
      </w:r>
      <w:proofErr w:type="spellStart"/>
      <w:r>
        <w:t>Apicella</w:t>
      </w:r>
      <w:proofErr w:type="spellEnd"/>
      <w:r>
        <w:t xml:space="preserve"> and Richards have access to, along with unlimited guidance from the Qualtrics support team. To mediate the recruitment process on Amazon Mechanical Turk, Richards has a </w:t>
      </w:r>
      <w:proofErr w:type="spellStart"/>
      <w:r>
        <w:t>Turkprime</w:t>
      </w:r>
      <w:proofErr w:type="spellEnd"/>
      <w:r>
        <w:t xml:space="preserve"> account, which has features to prevent repeated participation (e.g., checks for duplicate IP addresses), prevent bots from contaminating data collection (e.g., checks for duplicate geolocations), and verify worker information. Additionally, Dr. </w:t>
      </w:r>
      <w:proofErr w:type="spellStart"/>
      <w:r>
        <w:t>Apicella</w:t>
      </w:r>
      <w:proofErr w:type="spellEnd"/>
      <w:r>
        <w:t xml:space="preserve"> and Keana Richards will use the Benjamin Franklin Laboratory and the William Penn Laboratory for participant recruitment, which include 34 computers with Microsoft Office, Adobe Reader Pro, Internet access (Chrome and Firefox) and removable privacy shields, along with 20 noise canceling headphones. Through Dr. </w:t>
      </w:r>
      <w:proofErr w:type="spellStart"/>
      <w:r>
        <w:t>Apicella’s</w:t>
      </w:r>
      <w:proofErr w:type="spellEnd"/>
      <w:r>
        <w:t xml:space="preserve"> affiliation with SBSI, there are two available participant pools for recruitment: the psychology student pool who will receive credit for participating and the paid participant pool maintained by SBSI. Finally, Dr. </w:t>
      </w:r>
      <w:proofErr w:type="spellStart"/>
      <w:r>
        <w:t>Apicella</w:t>
      </w:r>
      <w:proofErr w:type="spellEnd"/>
      <w:r>
        <w:t xml:space="preserve"> and Richards have access to additional support, if needed, from 3 grants managers, 3 IT support specialists, 1 business office manager, 1 undergraduate coordinator, and 6 administrative coordinators.</w:t>
      </w:r>
    </w:p>
    <w:p w14:paraId="67073223" w14:textId="77777777" w:rsidR="006A01C6" w:rsidRDefault="00EC3EE3" w:rsidP="009229E8">
      <w:pPr>
        <w:pStyle w:val="Heading1"/>
        <w:spacing w:before="0"/>
      </w:pPr>
      <w:bookmarkStart w:id="43" w:name="data-management-plan"/>
      <w:bookmarkStart w:id="44" w:name="_Toc39138145"/>
      <w:r>
        <w:t>Data management plan</w:t>
      </w:r>
      <w:bookmarkEnd w:id="43"/>
      <w:bookmarkEnd w:id="44"/>
    </w:p>
    <w:p w14:paraId="67073224" w14:textId="77777777" w:rsidR="006A01C6" w:rsidRDefault="00EC3EE3" w:rsidP="009229E8">
      <w:pPr>
        <w:pStyle w:val="FirstParagraph"/>
        <w:spacing w:before="0" w:after="0"/>
      </w:pPr>
      <w:r>
        <w:rPr>
          <w:b/>
        </w:rPr>
        <w:t>Types of data:</w:t>
      </w:r>
      <w:r>
        <w:t xml:space="preserve"> The research data will be downloaded from the Qualtrics survey software as a .csv file, which will include the participants’ responses, along with administrative data produced by Qualtrics (e.g., date, end date, response type, progress, duration, longitude and latitude). The administrative data produced by Qualtrics will be deleted during data cleaning, leaving only the participants’ responses. The data will be analyzed using R statistical software.</w:t>
      </w:r>
    </w:p>
    <w:p w14:paraId="67073225" w14:textId="77777777" w:rsidR="006A01C6" w:rsidRDefault="00EC3EE3" w:rsidP="009229E8">
      <w:pPr>
        <w:pStyle w:val="BodyText"/>
        <w:spacing w:before="0" w:after="0"/>
      </w:pPr>
      <w:r>
        <w:rPr>
          <w:b/>
        </w:rPr>
        <w:t>Storage:</w:t>
      </w:r>
      <w:r>
        <w:t xml:space="preserve"> Data will be stored on password-protected computers only accessible by the study personnel during data analysis. After finishing the pre-registered data analysis plan, the data will be stored on cloud-based storage through the public online repository Open Science Framework </w:t>
      </w:r>
      <w:hyperlink r:id="rId10">
        <w:r>
          <w:rPr>
            <w:rStyle w:val="Hyperlink"/>
          </w:rPr>
          <w:t>OSF</w:t>
        </w:r>
      </w:hyperlink>
      <w:r>
        <w:t>. Data will only be identified by unique subject ID numbers. The number of research personnel involved will be kept to only the number necessary to conduct the study. We do not plan on deleting the data.</w:t>
      </w:r>
    </w:p>
    <w:p w14:paraId="67073226" w14:textId="77777777" w:rsidR="006A01C6" w:rsidRDefault="00EC3EE3" w:rsidP="009229E8">
      <w:pPr>
        <w:pStyle w:val="BodyText"/>
        <w:spacing w:before="0" w:after="0"/>
      </w:pPr>
      <w:r>
        <w:rPr>
          <w:b/>
        </w:rPr>
        <w:t>Distribution:</w:t>
      </w:r>
      <w:r>
        <w:t xml:space="preserve"> Following emerging norms in the field, the research data (as a .csv file), code for analysis (as a .R file), and materials for the studies (as the .pdf version of the downloaded Qualtrics survey) will be posted to the public online repository Open Science Framework (</w:t>
      </w:r>
      <w:hyperlink r:id="rId11">
        <w:r>
          <w:rPr>
            <w:rStyle w:val="Hyperlink"/>
          </w:rPr>
          <w:t>https://osf.io/</w:t>
        </w:r>
      </w:hyperlink>
      <w:r>
        <w:t xml:space="preserve">) within a short period after finishing data analysis. Additionally, the data may be shared for research purposes, including but not limited </w:t>
      </w:r>
      <w:proofErr w:type="gramStart"/>
      <w:r>
        <w:t>to:</w:t>
      </w:r>
      <w:proofErr w:type="gramEnd"/>
      <w:r>
        <w:t xml:space="preserve"> publication, presentation, or in correspondence with colleagues who request the data. These data will not include any personal identifying information and all distribution will be in accordance with the Institutional Review Board protocol.</w:t>
      </w:r>
    </w:p>
    <w:p w14:paraId="67073227" w14:textId="77777777" w:rsidR="006A01C6" w:rsidRDefault="00EC3EE3" w:rsidP="009229E8">
      <w:pPr>
        <w:pStyle w:val="Heading1"/>
        <w:spacing w:before="0"/>
      </w:pPr>
      <w:bookmarkStart w:id="45" w:name="figures"/>
      <w:bookmarkStart w:id="46" w:name="_Toc39138146"/>
      <w:r>
        <w:lastRenderedPageBreak/>
        <w:t>Figures</w:t>
      </w:r>
      <w:bookmarkEnd w:id="45"/>
      <w:bookmarkEnd w:id="46"/>
    </w:p>
    <w:p w14:paraId="67073228" w14:textId="77777777" w:rsidR="006A01C6" w:rsidRDefault="00EC3EE3" w:rsidP="009229E8">
      <w:pPr>
        <w:pStyle w:val="CaptionedFigure"/>
        <w:spacing w:after="0"/>
      </w:pPr>
      <w:r w:rsidRPr="00533EC1">
        <w:drawing>
          <wp:inline distT="0" distB="0" distL="0" distR="0" wp14:anchorId="67073269" wp14:editId="6707326A">
            <wp:extent cx="5943600" cy="3763658"/>
            <wp:effectExtent l="0" t="0" r="0" b="0"/>
            <wp:docPr id="2" name="Picture" descr="Figure 1. Choice to prepare based on gender and competition choice across both conditions (knowledge and no knowledge of option to prepare) in Study 1. All error bars represent SE. Men and women chose to prepare more under the tournament payment scheme (50/95 = ~ 53% of the men who chose tournament prepared; 40/60 = ~ 67% of women who chose tournament prepared) than the piece-rate payment scheme (149/374 = ~ 40% of men the who chose piece-rate prepared; 260/481 = ~ 54% of the women who chose piece-rate prepared). There was a main effect of gender on choice to prepare, where women prepared more than men while controlling for their decision to compete, but no interaction effect between gender and choice to compete. In sum, we have evidence that women prepared more on average than men, even though they did not choose to compete."/>
            <wp:cNvGraphicFramePr/>
            <a:graphic xmlns:a="http://schemas.openxmlformats.org/drawingml/2006/main">
              <a:graphicData uri="http://schemas.openxmlformats.org/drawingml/2006/picture">
                <pic:pic xmlns:pic="http://schemas.openxmlformats.org/drawingml/2006/picture">
                  <pic:nvPicPr>
                    <pic:cNvPr id="0" name="Picture" descr="plot1.png"/>
                    <pic:cNvPicPr>
                      <a:picLocks noChangeAspect="1" noChangeArrowheads="1"/>
                    </pic:cNvPicPr>
                  </pic:nvPicPr>
                  <pic:blipFill>
                    <a:blip r:embed="rId12"/>
                    <a:stretch>
                      <a:fillRect/>
                    </a:stretch>
                  </pic:blipFill>
                  <pic:spPr bwMode="auto">
                    <a:xfrm>
                      <a:off x="0" y="0"/>
                      <a:ext cx="5943600" cy="3763658"/>
                    </a:xfrm>
                    <a:prstGeom prst="rect">
                      <a:avLst/>
                    </a:prstGeom>
                    <a:noFill/>
                    <a:ln w="9525">
                      <a:noFill/>
                      <a:headEnd/>
                      <a:tailEnd/>
                    </a:ln>
                  </pic:spPr>
                </pic:pic>
              </a:graphicData>
            </a:graphic>
          </wp:inline>
        </w:drawing>
      </w:r>
    </w:p>
    <w:p w14:paraId="67073229" w14:textId="77777777" w:rsidR="006A01C6" w:rsidRPr="001F3BDE" w:rsidRDefault="00EC3EE3" w:rsidP="001F3BDE">
      <w:pPr>
        <w:pStyle w:val="FootnoteText"/>
      </w:pPr>
      <w:r w:rsidRPr="001F3BDE">
        <w:t>Figure 1. Choice to prepare based on gender and competition choice across both conditions (knowledge and no knowledge of option to prepare) in Study 1. All error bars represent SE. Men and women chose to prepare more under the tournament payment scheme (50/95 = ~ 53% of the men who chose tournament prepared; 40/60 = ~ 67% of women who chose tournament prepared) than the piece-rate payment scheme (149/374 = ~ 40% of men the who chose piece-rate prepared; 260/481 = ~ 54% of the women who chose piece-rate prepared). There was a main effect of gender on choice to prepare, where women prepared more than men while controlling for their decision to compete, but no interaction effect between gender and choice to compete. In sum, we have evidence that women prepared more on average than men, even though they did not choose to compete.</w:t>
      </w:r>
    </w:p>
    <w:p w14:paraId="6707322A" w14:textId="77777777" w:rsidR="006A01C6" w:rsidRDefault="00EC3EE3" w:rsidP="009229E8">
      <w:pPr>
        <w:pStyle w:val="CaptionedFigure"/>
        <w:spacing w:after="0"/>
      </w:pPr>
      <w:r>
        <w:lastRenderedPageBreak/>
        <w:drawing>
          <wp:inline distT="0" distB="0" distL="0" distR="0" wp14:anchorId="6707326B" wp14:editId="6707326C">
            <wp:extent cx="5943600" cy="3763658"/>
            <wp:effectExtent l="0" t="0" r="0" b="0"/>
            <wp:docPr id="3" name="Picture" descr="Figure 2. Choice to prepare based on gender and competition choice across both conditions (mandatory preparation or no preparation) in Study 2. All error bars represent SE. Men and women chose to prepare more under the tournament payment scheme (52/101 = ~ 52% of the men who chose tournament prepared; 41/68 = ~ 60% of women who chose tournament prepared) than the piece-rate payment scheme (129/406= ~ 32% of men who chose piece-rate prepared; 176/451 = ~ 39% of women who chose piece-rate prepared). We replicated the main effect of gender on choice to prepare. Therefore, we find that women chose to prepare more than men on average, even when half of them completed mandatory preparation before making this choice."/>
            <wp:cNvGraphicFramePr/>
            <a:graphic xmlns:a="http://schemas.openxmlformats.org/drawingml/2006/main">
              <a:graphicData uri="http://schemas.openxmlformats.org/drawingml/2006/picture">
                <pic:pic xmlns:pic="http://schemas.openxmlformats.org/drawingml/2006/picture">
                  <pic:nvPicPr>
                    <pic:cNvPr id="0" name="Picture" descr="plot2.png"/>
                    <pic:cNvPicPr>
                      <a:picLocks noChangeAspect="1" noChangeArrowheads="1"/>
                    </pic:cNvPicPr>
                  </pic:nvPicPr>
                  <pic:blipFill>
                    <a:blip r:embed="rId13"/>
                    <a:stretch>
                      <a:fillRect/>
                    </a:stretch>
                  </pic:blipFill>
                  <pic:spPr bwMode="auto">
                    <a:xfrm>
                      <a:off x="0" y="0"/>
                      <a:ext cx="5943600" cy="3763658"/>
                    </a:xfrm>
                    <a:prstGeom prst="rect">
                      <a:avLst/>
                    </a:prstGeom>
                    <a:noFill/>
                    <a:ln w="9525">
                      <a:noFill/>
                      <a:headEnd/>
                      <a:tailEnd/>
                    </a:ln>
                  </pic:spPr>
                </pic:pic>
              </a:graphicData>
            </a:graphic>
          </wp:inline>
        </w:drawing>
      </w:r>
    </w:p>
    <w:p w14:paraId="6707322B" w14:textId="77777777" w:rsidR="006A01C6" w:rsidRPr="001F3BDE" w:rsidRDefault="00EC3EE3" w:rsidP="001F3BDE">
      <w:pPr>
        <w:pStyle w:val="FootnoteText"/>
      </w:pPr>
      <w:bookmarkStart w:id="47" w:name="_GoBack"/>
      <w:r w:rsidRPr="001F3BDE">
        <w:t xml:space="preserve">Figure 2. Choice to prepare based on gender and competition choice across both conditions (mandatory preparation </w:t>
      </w:r>
      <w:proofErr w:type="gramStart"/>
      <w:r w:rsidRPr="001F3BDE">
        <w:t>or</w:t>
      </w:r>
      <w:proofErr w:type="gramEnd"/>
      <w:r w:rsidRPr="001F3BDE">
        <w:t xml:space="preserve"> no preparation) in Study 2. All error bars represent SE. Men and women chose to prepare more under the tournament payment scheme (52/101 = ~ 52% of the men who chose tournament prepared; 41/68 = ~ 60% of women who chose tournament prepared) than the piece-rate payment scheme (129/406= ~ 32% of men who chose piece-rate prepared; 176/451 = ~ 39% of women who chose piece-rate prepared). We replicated the main effect of gender on choice to prepare. Therefore, we find that women chose to prepare more than men on average, even when half of them completed mandatory preparation before making this choice.</w:t>
      </w:r>
    </w:p>
    <w:p w14:paraId="6707322C" w14:textId="77777777" w:rsidR="006A01C6" w:rsidRPr="005A418F" w:rsidRDefault="00EC3EE3" w:rsidP="009229E8">
      <w:pPr>
        <w:pStyle w:val="Heading1"/>
        <w:spacing w:before="0"/>
        <w:rPr>
          <w:lang w:val="es-MX"/>
        </w:rPr>
      </w:pPr>
      <w:bookmarkStart w:id="48" w:name="references"/>
      <w:bookmarkStart w:id="49" w:name="_Toc39138147"/>
      <w:bookmarkEnd w:id="47"/>
      <w:proofErr w:type="spellStart"/>
      <w:r w:rsidRPr="005A418F">
        <w:rPr>
          <w:lang w:val="es-MX"/>
        </w:rPr>
        <w:t>References</w:t>
      </w:r>
      <w:bookmarkEnd w:id="48"/>
      <w:bookmarkEnd w:id="49"/>
      <w:proofErr w:type="spellEnd"/>
    </w:p>
    <w:p w14:paraId="6707322D" w14:textId="77777777" w:rsidR="006A01C6" w:rsidRDefault="00EC3EE3" w:rsidP="009229E8">
      <w:pPr>
        <w:pStyle w:val="Bibliography"/>
        <w:spacing w:after="0"/>
      </w:pPr>
      <w:bookmarkStart w:id="50" w:name="ref-Altonji1999"/>
      <w:bookmarkStart w:id="51" w:name="refs"/>
      <w:proofErr w:type="spellStart"/>
      <w:r w:rsidRPr="005A418F">
        <w:rPr>
          <w:lang w:val="es-MX"/>
        </w:rPr>
        <w:t>Altonji</w:t>
      </w:r>
      <w:proofErr w:type="spellEnd"/>
      <w:r w:rsidRPr="005A418F">
        <w:rPr>
          <w:lang w:val="es-MX"/>
        </w:rPr>
        <w:t xml:space="preserve">, J. G., &amp; </w:t>
      </w:r>
      <w:proofErr w:type="spellStart"/>
      <w:r w:rsidRPr="005A418F">
        <w:rPr>
          <w:lang w:val="es-MX"/>
        </w:rPr>
        <w:t>Blank</w:t>
      </w:r>
      <w:proofErr w:type="spellEnd"/>
      <w:r w:rsidRPr="005A418F">
        <w:rPr>
          <w:lang w:val="es-MX"/>
        </w:rPr>
        <w:t xml:space="preserve">, R. M. (1999). </w:t>
      </w:r>
      <w:r>
        <w:t xml:space="preserve">Race and gender in the labor market. In </w:t>
      </w:r>
      <w:r>
        <w:rPr>
          <w:i/>
        </w:rPr>
        <w:t>Handbook of labor economics</w:t>
      </w:r>
      <w:r>
        <w:t xml:space="preserve"> (pp. 3143–3259).</w:t>
      </w:r>
    </w:p>
    <w:p w14:paraId="6707322E" w14:textId="77777777" w:rsidR="006A01C6" w:rsidRDefault="00EC3EE3" w:rsidP="009229E8">
      <w:pPr>
        <w:pStyle w:val="Bibliography"/>
        <w:spacing w:after="0"/>
      </w:pPr>
      <w:bookmarkStart w:id="52" w:name="ref-Apicella2017"/>
      <w:bookmarkEnd w:id="50"/>
      <w:proofErr w:type="spellStart"/>
      <w:r>
        <w:t>Apicella</w:t>
      </w:r>
      <w:proofErr w:type="spellEnd"/>
      <w:r>
        <w:t xml:space="preserve">, C. L., Crittenden, A. N., &amp; </w:t>
      </w:r>
      <w:proofErr w:type="spellStart"/>
      <w:r>
        <w:t>Tobolsky</w:t>
      </w:r>
      <w:proofErr w:type="spellEnd"/>
      <w:r>
        <w:t xml:space="preserve">, V. A. (2017). Hunter-gatherer males are more risk-seeking than females, even in late childhood. </w:t>
      </w:r>
      <w:r>
        <w:rPr>
          <w:i/>
        </w:rPr>
        <w:t>Evolution and Human Behavior</w:t>
      </w:r>
      <w:r>
        <w:t xml:space="preserve">, </w:t>
      </w:r>
      <w:r>
        <w:rPr>
          <w:i/>
        </w:rPr>
        <w:t>38</w:t>
      </w:r>
      <w:r>
        <w:t>, 592–603.</w:t>
      </w:r>
    </w:p>
    <w:p w14:paraId="6707322F" w14:textId="77777777" w:rsidR="006A01C6" w:rsidRDefault="00EC3EE3" w:rsidP="009229E8">
      <w:pPr>
        <w:pStyle w:val="Bibliography"/>
        <w:spacing w:after="0"/>
      </w:pPr>
      <w:bookmarkStart w:id="53" w:name="ref-Apicella2017a"/>
      <w:bookmarkEnd w:id="52"/>
      <w:proofErr w:type="spellStart"/>
      <w:r>
        <w:t>Apicella</w:t>
      </w:r>
      <w:proofErr w:type="spellEnd"/>
      <w:r>
        <w:t xml:space="preserve">, C. L., </w:t>
      </w:r>
      <w:proofErr w:type="spellStart"/>
      <w:r>
        <w:t>Demiral</w:t>
      </w:r>
      <w:proofErr w:type="spellEnd"/>
      <w:r>
        <w:t xml:space="preserve">, E. E., &amp; </w:t>
      </w:r>
      <w:proofErr w:type="spellStart"/>
      <w:r>
        <w:t>Mollerstrom</w:t>
      </w:r>
      <w:proofErr w:type="spellEnd"/>
      <w:r>
        <w:t xml:space="preserve">, J. (2017). No gender difference in willingness to compete when competing against self. </w:t>
      </w:r>
      <w:r>
        <w:rPr>
          <w:i/>
        </w:rPr>
        <w:t>DIW Discussion Papers</w:t>
      </w:r>
      <w:r>
        <w:t>.</w:t>
      </w:r>
    </w:p>
    <w:p w14:paraId="67073230" w14:textId="77777777" w:rsidR="006A01C6" w:rsidRDefault="00EC3EE3" w:rsidP="009229E8">
      <w:pPr>
        <w:pStyle w:val="Bibliography"/>
        <w:spacing w:after="0"/>
      </w:pPr>
      <w:bookmarkStart w:id="54" w:name="ref-Apicella2020"/>
      <w:bookmarkEnd w:id="53"/>
      <w:proofErr w:type="spellStart"/>
      <w:r>
        <w:t>Apicella</w:t>
      </w:r>
      <w:proofErr w:type="spellEnd"/>
      <w:r>
        <w:t xml:space="preserve">, C. L., </w:t>
      </w:r>
      <w:proofErr w:type="spellStart"/>
      <w:r>
        <w:t>Demiral</w:t>
      </w:r>
      <w:proofErr w:type="spellEnd"/>
      <w:r>
        <w:t xml:space="preserve">, E. E., &amp; </w:t>
      </w:r>
      <w:proofErr w:type="spellStart"/>
      <w:r>
        <w:t>Mollerstrom</w:t>
      </w:r>
      <w:proofErr w:type="spellEnd"/>
      <w:r>
        <w:t xml:space="preserve">, J. (2020). Compete with others? No, thanks. With myself? Yes, </w:t>
      </w:r>
      <w:proofErr w:type="gramStart"/>
      <w:r>
        <w:t>please !</w:t>
      </w:r>
      <w:proofErr w:type="gramEnd"/>
      <w:r>
        <w:t xml:space="preserve"> </w:t>
      </w:r>
      <w:r>
        <w:rPr>
          <w:i/>
        </w:rPr>
        <w:t>Economic Letters</w:t>
      </w:r>
      <w:r>
        <w:t xml:space="preserve">, </w:t>
      </w:r>
      <w:r>
        <w:rPr>
          <w:i/>
        </w:rPr>
        <w:t>187</w:t>
      </w:r>
      <w:r>
        <w:t>, 1–3.</w:t>
      </w:r>
    </w:p>
    <w:p w14:paraId="67073231" w14:textId="77777777" w:rsidR="006A01C6" w:rsidRDefault="00EC3EE3" w:rsidP="009229E8">
      <w:pPr>
        <w:pStyle w:val="Bibliography"/>
        <w:spacing w:after="0"/>
      </w:pPr>
      <w:bookmarkStart w:id="55" w:name="ref-Apicella2015"/>
      <w:bookmarkEnd w:id="54"/>
      <w:proofErr w:type="spellStart"/>
      <w:r>
        <w:lastRenderedPageBreak/>
        <w:t>Apicella</w:t>
      </w:r>
      <w:proofErr w:type="spellEnd"/>
      <w:r>
        <w:t xml:space="preserve">, C. L., &amp; </w:t>
      </w:r>
      <w:proofErr w:type="spellStart"/>
      <w:r>
        <w:t>Dreber</w:t>
      </w:r>
      <w:proofErr w:type="spellEnd"/>
      <w:r>
        <w:t xml:space="preserve">,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14">
        <w:r>
          <w:rPr>
            <w:rStyle w:val="Hyperlink"/>
          </w:rPr>
          <w:t>https://doi.org/10.1007/s40750-014-0015-z</w:t>
        </w:r>
      </w:hyperlink>
    </w:p>
    <w:p w14:paraId="67073232" w14:textId="77777777" w:rsidR="006A01C6" w:rsidRDefault="00EC3EE3" w:rsidP="009229E8">
      <w:pPr>
        <w:pStyle w:val="Bibliography"/>
        <w:spacing w:after="0"/>
      </w:pPr>
      <w:bookmarkStart w:id="56" w:name="ref-Apicella2011"/>
      <w:bookmarkEnd w:id="55"/>
      <w:proofErr w:type="spellStart"/>
      <w:r>
        <w:t>Apicella</w:t>
      </w:r>
      <w:proofErr w:type="spellEnd"/>
      <w:r>
        <w:t xml:space="preserve">, C. L., </w:t>
      </w:r>
      <w:proofErr w:type="spellStart"/>
      <w:r>
        <w:t>Dreber</w:t>
      </w:r>
      <w:proofErr w:type="spellEnd"/>
      <w:r>
        <w:t xml:space="preserve">, A., Gray, P. B., Hoffman, M., Little, A. C., &amp; Campbell, B. C. (2011). Androgens and competitiveness in men. </w:t>
      </w:r>
      <w:r>
        <w:rPr>
          <w:i/>
        </w:rPr>
        <w:t>Journal of Neuroscience, Psychology, and Economics</w:t>
      </w:r>
      <w:r>
        <w:t xml:space="preserve">, </w:t>
      </w:r>
      <w:r>
        <w:rPr>
          <w:i/>
        </w:rPr>
        <w:t>4</w:t>
      </w:r>
      <w:r>
        <w:t xml:space="preserve">(1), 54–62. </w:t>
      </w:r>
      <w:hyperlink r:id="rId15">
        <w:r>
          <w:rPr>
            <w:rStyle w:val="Hyperlink"/>
          </w:rPr>
          <w:t>https://doi.org/10.1037/a0021979</w:t>
        </w:r>
      </w:hyperlink>
    </w:p>
    <w:p w14:paraId="67073233" w14:textId="77777777" w:rsidR="006A01C6" w:rsidRDefault="00EC3EE3" w:rsidP="009229E8">
      <w:pPr>
        <w:pStyle w:val="Bibliography"/>
        <w:spacing w:after="0"/>
      </w:pPr>
      <w:bookmarkStart w:id="57" w:name="ref-Barron2015"/>
      <w:bookmarkEnd w:id="56"/>
      <w:r>
        <w:t xml:space="preserve">Barron, K. E., &amp; </w:t>
      </w:r>
      <w:proofErr w:type="spellStart"/>
      <w:r>
        <w:t>Hulleman</w:t>
      </w:r>
      <w:proofErr w:type="spellEnd"/>
      <w:r>
        <w:t xml:space="preserve">, C. S. (2015). Expectancy-value-cost model of motivation. In J. S. Eccles &amp; K. </w:t>
      </w:r>
      <w:proofErr w:type="spellStart"/>
      <w:r>
        <w:t>Salmelo-Aro</w:t>
      </w:r>
      <w:proofErr w:type="spellEnd"/>
      <w:r>
        <w:t xml:space="preserve"> (Eds.), </w:t>
      </w:r>
      <w:r>
        <w:rPr>
          <w:i/>
        </w:rPr>
        <w:t>International encyclopedia of social and behavioral sciences</w:t>
      </w:r>
      <w:r>
        <w:t xml:space="preserve"> (pp. 503–509). </w:t>
      </w:r>
      <w:hyperlink r:id="rId16">
        <w:r>
          <w:rPr>
            <w:rStyle w:val="Hyperlink"/>
          </w:rPr>
          <w:t>https://doi.org/10.1016/B978-0-08-097086-8.26099-6</w:t>
        </w:r>
      </w:hyperlink>
    </w:p>
    <w:p w14:paraId="67073234" w14:textId="77777777" w:rsidR="006A01C6" w:rsidRDefault="00EC3EE3" w:rsidP="009229E8">
      <w:pPr>
        <w:pStyle w:val="Bibliography"/>
        <w:spacing w:after="0"/>
      </w:pPr>
      <w:bookmarkStart w:id="58" w:name="ref-Bell2010"/>
      <w:bookmarkEnd w:id="57"/>
      <w:r w:rsidRPr="00EF797E">
        <w:t xml:space="preserve">Bell, B., &amp; Van Reenen, J. (2010). </w:t>
      </w:r>
      <w:r>
        <w:t xml:space="preserve">Bankers’ pay and extreme wage inequality in the UK. </w:t>
      </w:r>
      <w:r>
        <w:rPr>
          <w:i/>
        </w:rPr>
        <w:t>Centre for Economic Performance (CEPR)</w:t>
      </w:r>
      <w:r>
        <w:t xml:space="preserve">, </w:t>
      </w:r>
      <w:proofErr w:type="gramStart"/>
      <w:r>
        <w:rPr>
          <w:i/>
        </w:rPr>
        <w:t>April</w:t>
      </w:r>
      <w:r>
        <w:t>,</w:t>
      </w:r>
      <w:proofErr w:type="gramEnd"/>
      <w:r>
        <w:t xml:space="preserve"> 1–34. </w:t>
      </w:r>
      <w:hyperlink r:id="rId17">
        <w:r>
          <w:rPr>
            <w:rStyle w:val="Hyperlink"/>
          </w:rPr>
          <w:t>https://doi.org/DOI:</w:t>
        </w:r>
      </w:hyperlink>
    </w:p>
    <w:p w14:paraId="67073235" w14:textId="77777777" w:rsidR="006A01C6" w:rsidRDefault="00EC3EE3" w:rsidP="009229E8">
      <w:pPr>
        <w:pStyle w:val="Bibliography"/>
        <w:spacing w:after="0"/>
      </w:pPr>
      <w:bookmarkStart w:id="59" w:name="ref-Bell2014"/>
      <w:bookmarkEnd w:id="58"/>
      <w:r w:rsidRPr="005A418F">
        <w:rPr>
          <w:lang w:val="es-MX"/>
        </w:rPr>
        <w:t xml:space="preserve">Bell, B., &amp; Van </w:t>
      </w:r>
      <w:proofErr w:type="spellStart"/>
      <w:r w:rsidRPr="005A418F">
        <w:rPr>
          <w:lang w:val="es-MX"/>
        </w:rPr>
        <w:t>Reenen</w:t>
      </w:r>
      <w:proofErr w:type="spellEnd"/>
      <w:r w:rsidRPr="005A418F">
        <w:rPr>
          <w:lang w:val="es-MX"/>
        </w:rPr>
        <w:t xml:space="preserve">, J. (2014). </w:t>
      </w:r>
      <w:r>
        <w:t xml:space="preserve">Bankers and their bonuses. </w:t>
      </w:r>
      <w:r>
        <w:rPr>
          <w:i/>
        </w:rPr>
        <w:t>Economic Journal</w:t>
      </w:r>
      <w:r>
        <w:t xml:space="preserve">, </w:t>
      </w:r>
      <w:r>
        <w:rPr>
          <w:i/>
        </w:rPr>
        <w:t>124</w:t>
      </w:r>
      <w:r>
        <w:t xml:space="preserve">(574). </w:t>
      </w:r>
      <w:hyperlink r:id="rId18">
        <w:r>
          <w:rPr>
            <w:rStyle w:val="Hyperlink"/>
          </w:rPr>
          <w:t>https://doi.org/10.1111/ecoj.12101</w:t>
        </w:r>
      </w:hyperlink>
    </w:p>
    <w:p w14:paraId="67073236" w14:textId="77777777" w:rsidR="006A01C6" w:rsidRDefault="00EC3EE3" w:rsidP="009229E8">
      <w:pPr>
        <w:pStyle w:val="Bibliography"/>
        <w:spacing w:after="0"/>
      </w:pPr>
      <w:bookmarkStart w:id="60" w:name="ref-Benabou2016"/>
      <w:bookmarkEnd w:id="59"/>
      <w:proofErr w:type="spellStart"/>
      <w:r>
        <w:t>Bénabou</w:t>
      </w:r>
      <w:proofErr w:type="spellEnd"/>
      <w:r>
        <w:t xml:space="preserve">, R., &amp; </w:t>
      </w:r>
      <w:proofErr w:type="spellStart"/>
      <w:r>
        <w:t>Tirole</w:t>
      </w:r>
      <w:proofErr w:type="spellEnd"/>
      <w:r>
        <w:t xml:space="preserve">, J. (2016). Bonus culture: Competitive pay, screening, and multitasking. </w:t>
      </w:r>
      <w:r>
        <w:rPr>
          <w:i/>
        </w:rPr>
        <w:t>Journal of Political Economy</w:t>
      </w:r>
      <w:r>
        <w:t xml:space="preserve">, </w:t>
      </w:r>
      <w:r>
        <w:rPr>
          <w:i/>
        </w:rPr>
        <w:t>124</w:t>
      </w:r>
      <w:r>
        <w:t>(2), 305–370.</w:t>
      </w:r>
    </w:p>
    <w:p w14:paraId="67073237" w14:textId="77777777" w:rsidR="006A01C6" w:rsidRDefault="00EC3EE3" w:rsidP="009229E8">
      <w:pPr>
        <w:pStyle w:val="Bibliography"/>
        <w:spacing w:after="0"/>
      </w:pPr>
      <w:bookmarkStart w:id="61" w:name="ref-Blau2013"/>
      <w:bookmarkEnd w:id="60"/>
      <w:proofErr w:type="spellStart"/>
      <w:r>
        <w:t>Blau</w:t>
      </w:r>
      <w:proofErr w:type="spellEnd"/>
      <w:r>
        <w:t xml:space="preserve">, F. D., </w:t>
      </w:r>
      <w:proofErr w:type="spellStart"/>
      <w:r>
        <w:t>Brummund</w:t>
      </w:r>
      <w:proofErr w:type="spellEnd"/>
      <w:r>
        <w:t xml:space="preserve">, P., &amp; Liu, A. Y. H. (2013). Trends in occupational segregation by gender 1970-2009: Adjusting for the impact of changes in the occupational coding system. </w:t>
      </w:r>
      <w:r>
        <w:rPr>
          <w:i/>
        </w:rPr>
        <w:t>Demography</w:t>
      </w:r>
      <w:r>
        <w:t xml:space="preserve">, </w:t>
      </w:r>
      <w:r>
        <w:rPr>
          <w:i/>
        </w:rPr>
        <w:t>50</w:t>
      </w:r>
      <w:r>
        <w:t xml:space="preserve">, 471–492. </w:t>
      </w:r>
      <w:hyperlink r:id="rId19">
        <w:r>
          <w:rPr>
            <w:rStyle w:val="Hyperlink"/>
          </w:rPr>
          <w:t>https://doi.org/10.1007/s13524-012-0151-7</w:t>
        </w:r>
      </w:hyperlink>
    </w:p>
    <w:p w14:paraId="67073238" w14:textId="77777777" w:rsidR="006A01C6" w:rsidRDefault="00EC3EE3" w:rsidP="009229E8">
      <w:pPr>
        <w:pStyle w:val="Bibliography"/>
        <w:spacing w:after="0"/>
      </w:pPr>
      <w:bookmarkStart w:id="62" w:name="ref-Blau2017"/>
      <w:bookmarkEnd w:id="61"/>
      <w:proofErr w:type="spellStart"/>
      <w:r>
        <w:t>Blau</w:t>
      </w:r>
      <w:proofErr w:type="spellEnd"/>
      <w:r>
        <w:t xml:space="preserve">, F. D., &amp; Kahn, L. M. (2017). The gender wage gap: Extent, trends, and explanations. </w:t>
      </w:r>
      <w:r>
        <w:rPr>
          <w:i/>
        </w:rPr>
        <w:t>Journal of Economic Literature</w:t>
      </w:r>
      <w:r>
        <w:t xml:space="preserve">, </w:t>
      </w:r>
      <w:r>
        <w:rPr>
          <w:i/>
        </w:rPr>
        <w:t>55</w:t>
      </w:r>
      <w:r>
        <w:t xml:space="preserve">(3), 789–865. </w:t>
      </w:r>
      <w:hyperlink r:id="rId20">
        <w:r>
          <w:rPr>
            <w:rStyle w:val="Hyperlink"/>
          </w:rPr>
          <w:t>https://doi.org/10.1257/jel.20160995</w:t>
        </w:r>
      </w:hyperlink>
    </w:p>
    <w:p w14:paraId="67073239" w14:textId="77777777" w:rsidR="006A01C6" w:rsidRDefault="00EC3EE3" w:rsidP="009229E8">
      <w:pPr>
        <w:pStyle w:val="Bibliography"/>
        <w:spacing w:after="0"/>
      </w:pPr>
      <w:bookmarkStart w:id="63" w:name="ref-Bowers2011"/>
      <w:bookmarkEnd w:id="62"/>
      <w:r>
        <w:t xml:space="preserve">Bowers, J. (2011). Making effects manifest in randomized experiments. In </w:t>
      </w:r>
      <w:r>
        <w:rPr>
          <w:i/>
        </w:rPr>
        <w:t>Cambridge handbook of experimental political science</w:t>
      </w:r>
      <w:r>
        <w:t xml:space="preserve"> (pp. 459–480).</w:t>
      </w:r>
    </w:p>
    <w:p w14:paraId="6707323A" w14:textId="77777777" w:rsidR="006A01C6" w:rsidRDefault="00EC3EE3" w:rsidP="009229E8">
      <w:pPr>
        <w:pStyle w:val="Bibliography"/>
        <w:spacing w:after="0"/>
      </w:pPr>
      <w:bookmarkStart w:id="64" w:name="ref-Buhrmester2011"/>
      <w:bookmarkEnd w:id="63"/>
      <w:proofErr w:type="spellStart"/>
      <w:r>
        <w:lastRenderedPageBreak/>
        <w:t>Buhrmester</w:t>
      </w:r>
      <w:proofErr w:type="spellEnd"/>
      <w:r>
        <w:t xml:space="preserve">, M., Kwang, T., &amp; Gosling, S. D. (2011). Amazon’s mechanical </w:t>
      </w:r>
      <w:proofErr w:type="spellStart"/>
      <w:r>
        <w:t>turk</w:t>
      </w:r>
      <w:proofErr w:type="spellEnd"/>
      <w:r>
        <w:t xml:space="preserve">: A new source of inexpensive, yet high-quality, data? </w:t>
      </w:r>
      <w:r>
        <w:rPr>
          <w:i/>
        </w:rPr>
        <w:t>Perspectives on Psychological Science</w:t>
      </w:r>
      <w:r>
        <w:t xml:space="preserve">, </w:t>
      </w:r>
      <w:r>
        <w:rPr>
          <w:i/>
        </w:rPr>
        <w:t>6</w:t>
      </w:r>
      <w:r>
        <w:t xml:space="preserve">(1), 3–5. </w:t>
      </w:r>
      <w:hyperlink r:id="rId21">
        <w:r>
          <w:rPr>
            <w:rStyle w:val="Hyperlink"/>
          </w:rPr>
          <w:t>https://doi.org/10.1177/1745691610393980</w:t>
        </w:r>
      </w:hyperlink>
    </w:p>
    <w:p w14:paraId="6707323B" w14:textId="77777777" w:rsidR="006A01C6" w:rsidRDefault="00EC3EE3" w:rsidP="009229E8">
      <w:pPr>
        <w:pStyle w:val="Bibliography"/>
        <w:spacing w:after="0"/>
      </w:pPr>
      <w:bookmarkStart w:id="65" w:name="ref-Buser2014"/>
      <w:bookmarkEnd w:id="64"/>
      <w:proofErr w:type="spellStart"/>
      <w:r>
        <w:t>Buser</w:t>
      </w:r>
      <w:proofErr w:type="spellEnd"/>
      <w:r>
        <w:t xml:space="preserve">, T., </w:t>
      </w:r>
      <w:proofErr w:type="spellStart"/>
      <w:r>
        <w:t>Niederle</w:t>
      </w:r>
      <w:proofErr w:type="spellEnd"/>
      <w:r>
        <w:t xml:space="preserve">, M., &amp; </w:t>
      </w:r>
      <w:proofErr w:type="spellStart"/>
      <w:r>
        <w:t>Oosterbeek</w:t>
      </w:r>
      <w:proofErr w:type="spellEnd"/>
      <w:r>
        <w:t xml:space="preserve">, H. (2014). Gender, competition and career choices. </w:t>
      </w:r>
      <w:r>
        <w:rPr>
          <w:i/>
        </w:rPr>
        <w:t>The Quarterly Journal of Economics</w:t>
      </w:r>
      <w:r>
        <w:t xml:space="preserve">, </w:t>
      </w:r>
      <w:r>
        <w:rPr>
          <w:i/>
        </w:rPr>
        <w:t>129</w:t>
      </w:r>
      <w:r>
        <w:t xml:space="preserve">(3), 1409–1447. </w:t>
      </w:r>
      <w:hyperlink r:id="rId22">
        <w:r>
          <w:rPr>
            <w:rStyle w:val="Hyperlink"/>
          </w:rPr>
          <w:t>https://doi.org/10.1093/qje/qju009.Advance</w:t>
        </w:r>
      </w:hyperlink>
    </w:p>
    <w:p w14:paraId="6707323C" w14:textId="77777777" w:rsidR="006A01C6" w:rsidRDefault="00EC3EE3" w:rsidP="009229E8">
      <w:pPr>
        <w:pStyle w:val="Bibliography"/>
        <w:spacing w:after="0"/>
      </w:pPr>
      <w:bookmarkStart w:id="66" w:name="ref-Buser2019"/>
      <w:bookmarkEnd w:id="65"/>
      <w:proofErr w:type="spellStart"/>
      <w:r>
        <w:t>Buser</w:t>
      </w:r>
      <w:proofErr w:type="spellEnd"/>
      <w:r>
        <w:t xml:space="preserve">, T., &amp; Yuan, H. (2019). Do women give up competing more easily? Evidence from the lab and the Dutch Math Olympiad. </w:t>
      </w:r>
      <w:r>
        <w:rPr>
          <w:i/>
        </w:rPr>
        <w:t>American Economic Journal: Applied Economics</w:t>
      </w:r>
      <w:r>
        <w:t xml:space="preserve">, </w:t>
      </w:r>
      <w:r>
        <w:rPr>
          <w:i/>
        </w:rPr>
        <w:t>11</w:t>
      </w:r>
      <w:r>
        <w:t>(3), 225–252.</w:t>
      </w:r>
    </w:p>
    <w:p w14:paraId="6707323D" w14:textId="77777777" w:rsidR="006A01C6" w:rsidRDefault="00EC3EE3" w:rsidP="009229E8">
      <w:pPr>
        <w:pStyle w:val="Bibliography"/>
        <w:spacing w:after="0"/>
      </w:pPr>
      <w:bookmarkStart w:id="67" w:name="ref-Cheryan2017"/>
      <w:bookmarkEnd w:id="66"/>
      <w:proofErr w:type="spellStart"/>
      <w:r>
        <w:t>Cheryan</w:t>
      </w:r>
      <w:proofErr w:type="spellEnd"/>
      <w:r>
        <w:t xml:space="preserve">, S., Ziegler, S. A., Montoya, A. K., &amp; Jiang, L. (2017). Why are some stem fields more gender balanced than others? </w:t>
      </w:r>
      <w:r>
        <w:rPr>
          <w:i/>
        </w:rPr>
        <w:t>Psychological Bulletin</w:t>
      </w:r>
      <w:r>
        <w:t xml:space="preserve">, </w:t>
      </w:r>
      <w:r>
        <w:rPr>
          <w:i/>
        </w:rPr>
        <w:t>143</w:t>
      </w:r>
      <w:r>
        <w:t>(1), 1–35.</w:t>
      </w:r>
    </w:p>
    <w:p w14:paraId="6707323E" w14:textId="77777777" w:rsidR="006A01C6" w:rsidRDefault="00EC3EE3" w:rsidP="009229E8">
      <w:pPr>
        <w:pStyle w:val="Bibliography"/>
        <w:spacing w:after="0"/>
      </w:pPr>
      <w:bookmarkStart w:id="68" w:name="ref-Cunat2005"/>
      <w:bookmarkEnd w:id="67"/>
      <w:proofErr w:type="spellStart"/>
      <w:r>
        <w:t>Cuñat</w:t>
      </w:r>
      <w:proofErr w:type="spellEnd"/>
      <w:r>
        <w:t xml:space="preserve">, V., &amp; Guadalupe, M. (2005). How does product market competition shape incentive contracts? </w:t>
      </w:r>
      <w:r>
        <w:rPr>
          <w:i/>
        </w:rPr>
        <w:t>Journal of the European Economic Association</w:t>
      </w:r>
      <w:r>
        <w:t xml:space="preserve">, </w:t>
      </w:r>
      <w:r>
        <w:rPr>
          <w:i/>
        </w:rPr>
        <w:t>3</w:t>
      </w:r>
      <w:r>
        <w:t>(5), 1058–1082.</w:t>
      </w:r>
    </w:p>
    <w:p w14:paraId="6707323F" w14:textId="77777777" w:rsidR="006A01C6" w:rsidRDefault="00EC3EE3" w:rsidP="009229E8">
      <w:pPr>
        <w:pStyle w:val="Bibliography"/>
        <w:spacing w:after="0"/>
      </w:pPr>
      <w:bookmarkStart w:id="69" w:name="ref-Cvencek2011"/>
      <w:bookmarkEnd w:id="68"/>
      <w:proofErr w:type="spellStart"/>
      <w:r>
        <w:t>Cvencek</w:t>
      </w:r>
      <w:proofErr w:type="spellEnd"/>
      <w:r>
        <w:t xml:space="preserve">, D., Meltzoff, A. N., &amp; Greenwald, A. G. (2011). Math-gender stereotypes in elementary school children. </w:t>
      </w:r>
      <w:r>
        <w:rPr>
          <w:i/>
        </w:rPr>
        <w:t>Child Development</w:t>
      </w:r>
      <w:r>
        <w:t xml:space="preserve">, </w:t>
      </w:r>
      <w:r>
        <w:rPr>
          <w:i/>
        </w:rPr>
        <w:t>82</w:t>
      </w:r>
      <w:r>
        <w:t xml:space="preserve">(3), 766–779. </w:t>
      </w:r>
      <w:hyperlink r:id="rId23">
        <w:r>
          <w:rPr>
            <w:rStyle w:val="Hyperlink"/>
          </w:rPr>
          <w:t>https://doi.org/10.1111/j.1467-8624.2010.01529.x</w:t>
        </w:r>
      </w:hyperlink>
    </w:p>
    <w:p w14:paraId="67073240" w14:textId="77777777" w:rsidR="006A01C6" w:rsidRDefault="00EC3EE3" w:rsidP="009229E8">
      <w:pPr>
        <w:pStyle w:val="Bibliography"/>
        <w:spacing w:after="0"/>
      </w:pPr>
      <w:bookmarkStart w:id="70" w:name="ref-Dohmen2011"/>
      <w:bookmarkEnd w:id="69"/>
      <w:proofErr w:type="spellStart"/>
      <w:r>
        <w:t>Dohmen</w:t>
      </w:r>
      <w:proofErr w:type="spellEnd"/>
      <w:r>
        <w:t xml:space="preserve">, T., &amp; Falk, A. (2011). Performance pay and multidimensional sorting: Productivity, preferences, and gender. </w:t>
      </w:r>
      <w:r>
        <w:rPr>
          <w:i/>
        </w:rPr>
        <w:t>American Economic Association</w:t>
      </w:r>
      <w:r>
        <w:t xml:space="preserve">, </w:t>
      </w:r>
      <w:r>
        <w:rPr>
          <w:i/>
        </w:rPr>
        <w:t>101</w:t>
      </w:r>
      <w:r>
        <w:t xml:space="preserve">(2), 556–590. </w:t>
      </w:r>
      <w:hyperlink r:id="rId24">
        <w:r>
          <w:rPr>
            <w:rStyle w:val="Hyperlink"/>
          </w:rPr>
          <w:t>https://doi.org/http://dx.doi.org/10.1016/j.poly.2014.08.015</w:t>
        </w:r>
      </w:hyperlink>
    </w:p>
    <w:p w14:paraId="67073241" w14:textId="77777777" w:rsidR="006A01C6" w:rsidRDefault="00EC3EE3" w:rsidP="009229E8">
      <w:pPr>
        <w:pStyle w:val="Bibliography"/>
        <w:spacing w:after="0"/>
      </w:pPr>
      <w:bookmarkStart w:id="71" w:name="ref-Frank2010"/>
      <w:bookmarkEnd w:id="70"/>
      <w:r>
        <w:t xml:space="preserve">Frank, R. H., &amp; Cook, P. J. (2010). </w:t>
      </w:r>
      <w:r>
        <w:rPr>
          <w:i/>
        </w:rPr>
        <w:t>The winner-take-all society: Why the few at the top get so much more than the rest of us</w:t>
      </w:r>
      <w:r>
        <w:t>.</w:t>
      </w:r>
    </w:p>
    <w:p w14:paraId="67073242" w14:textId="77777777" w:rsidR="006A01C6" w:rsidRDefault="00EC3EE3" w:rsidP="009229E8">
      <w:pPr>
        <w:pStyle w:val="Bibliography"/>
        <w:spacing w:after="0"/>
      </w:pPr>
      <w:bookmarkStart w:id="72" w:name="ref-Fryer2008"/>
      <w:bookmarkEnd w:id="71"/>
      <w:r>
        <w:t xml:space="preserve">Fryer, B. R. G., Levitt, S. D., &amp; List, J. A. (2008). Exploring the impact of financial incentives on stereotype threat: Evidence from a pilot study. </w:t>
      </w:r>
      <w:r>
        <w:rPr>
          <w:i/>
        </w:rPr>
        <w:t>American Economic Review</w:t>
      </w:r>
      <w:r>
        <w:t xml:space="preserve">, </w:t>
      </w:r>
      <w:r>
        <w:rPr>
          <w:i/>
        </w:rPr>
        <w:t>98</w:t>
      </w:r>
      <w:r>
        <w:t>(2), 370–375.</w:t>
      </w:r>
    </w:p>
    <w:p w14:paraId="67073243" w14:textId="77777777" w:rsidR="006A01C6" w:rsidRDefault="00EC3EE3" w:rsidP="009229E8">
      <w:pPr>
        <w:pStyle w:val="Bibliography"/>
        <w:spacing w:after="0"/>
      </w:pPr>
      <w:bookmarkStart w:id="73" w:name="ref-Gill2014"/>
      <w:bookmarkEnd w:id="72"/>
      <w:r>
        <w:lastRenderedPageBreak/>
        <w:t xml:space="preserve">Gill, D., &amp; Prowse, V. (2014). Gender differences and dynamics in competition: The role of luck. </w:t>
      </w:r>
      <w:r>
        <w:rPr>
          <w:i/>
        </w:rPr>
        <w:t>Quantitative Economics</w:t>
      </w:r>
      <w:r>
        <w:t xml:space="preserve">, </w:t>
      </w:r>
      <w:r>
        <w:rPr>
          <w:i/>
        </w:rPr>
        <w:t>5</w:t>
      </w:r>
      <w:r>
        <w:t xml:space="preserve">, 351–376. </w:t>
      </w:r>
      <w:hyperlink r:id="rId25">
        <w:r>
          <w:rPr>
            <w:rStyle w:val="Hyperlink"/>
          </w:rPr>
          <w:t>https://doi.org/10.3982/QE309</w:t>
        </w:r>
      </w:hyperlink>
    </w:p>
    <w:p w14:paraId="67073244" w14:textId="77777777" w:rsidR="006A01C6" w:rsidRDefault="00EC3EE3" w:rsidP="009229E8">
      <w:pPr>
        <w:pStyle w:val="Bibliography"/>
        <w:spacing w:after="0"/>
      </w:pPr>
      <w:bookmarkStart w:id="74" w:name="ref-Gist1992"/>
      <w:bookmarkEnd w:id="73"/>
      <w:r>
        <w:t xml:space="preserve">Gist, M. E., &amp; Mitchell, T. R. (1992). Self-Efficacy: A Theoretical Analysis of Its Determinants and Malleability. </w:t>
      </w:r>
      <w:r>
        <w:rPr>
          <w:i/>
        </w:rPr>
        <w:t>The Academy of Management Review</w:t>
      </w:r>
      <w:r>
        <w:t xml:space="preserve">, </w:t>
      </w:r>
      <w:r>
        <w:rPr>
          <w:i/>
        </w:rPr>
        <w:t>17</w:t>
      </w:r>
      <w:r>
        <w:t>(2), 183–211.</w:t>
      </w:r>
    </w:p>
    <w:p w14:paraId="67073245" w14:textId="77777777" w:rsidR="006A01C6" w:rsidRDefault="00EC3EE3" w:rsidP="009229E8">
      <w:pPr>
        <w:pStyle w:val="Bibliography"/>
        <w:spacing w:after="0"/>
      </w:pPr>
      <w:bookmarkStart w:id="75" w:name="ref-Grabill2005"/>
      <w:bookmarkEnd w:id="74"/>
      <w:r>
        <w:t xml:space="preserve">Grabill, K., </w:t>
      </w:r>
      <w:proofErr w:type="spellStart"/>
      <w:r>
        <w:t>Lasane</w:t>
      </w:r>
      <w:proofErr w:type="spellEnd"/>
      <w:r>
        <w:t xml:space="preserve">, T., </w:t>
      </w:r>
      <w:proofErr w:type="spellStart"/>
      <w:r>
        <w:t>Povitsky</w:t>
      </w:r>
      <w:proofErr w:type="spellEnd"/>
      <w:r>
        <w:t xml:space="preserve">, W., Saxe, P., Munro, G., Phelps, L., &amp; Straub, J. (2005). Gender and study behavior: How social perception, social norm adherence, and structured academic behavior are predicted by gender. </w:t>
      </w:r>
      <w:r>
        <w:rPr>
          <w:i/>
        </w:rPr>
        <w:t>North American Journal of Psychology</w:t>
      </w:r>
      <w:r>
        <w:t xml:space="preserve">, </w:t>
      </w:r>
      <w:r>
        <w:rPr>
          <w:i/>
        </w:rPr>
        <w:t>7</w:t>
      </w:r>
      <w:r>
        <w:t>(1), 7–24.</w:t>
      </w:r>
    </w:p>
    <w:p w14:paraId="67073246" w14:textId="77777777" w:rsidR="006A01C6" w:rsidRDefault="00EC3EE3" w:rsidP="009229E8">
      <w:pPr>
        <w:pStyle w:val="Bibliography"/>
        <w:spacing w:after="0"/>
      </w:pPr>
      <w:bookmarkStart w:id="76" w:name="ref-Grosse2010"/>
      <w:bookmarkEnd w:id="75"/>
      <w:r>
        <w:t xml:space="preserve">Grosse, N., &amp; </w:t>
      </w:r>
      <w:proofErr w:type="spellStart"/>
      <w:r>
        <w:t>Riener</w:t>
      </w:r>
      <w:proofErr w:type="spellEnd"/>
      <w:r>
        <w:t xml:space="preserve">, G. (2010). Explaining gender differences in competitiveness: Gender-task stereotypes. </w:t>
      </w:r>
      <w:r>
        <w:rPr>
          <w:i/>
        </w:rPr>
        <w:t>Jena Economic Research Papers</w:t>
      </w:r>
      <w:r>
        <w:t>.</w:t>
      </w:r>
    </w:p>
    <w:p w14:paraId="67073247" w14:textId="77777777" w:rsidR="006A01C6" w:rsidRDefault="00EC3EE3" w:rsidP="009229E8">
      <w:pPr>
        <w:pStyle w:val="Bibliography"/>
        <w:spacing w:after="0"/>
      </w:pPr>
      <w:bookmarkStart w:id="77" w:name="ref-Hall1998"/>
      <w:bookmarkEnd w:id="76"/>
      <w:r>
        <w:t xml:space="preserve">Hall, B., &amp; Liebman, J. (1998). Are CEOs really paid like bureaucrats? </w:t>
      </w:r>
      <w:r>
        <w:rPr>
          <w:i/>
        </w:rPr>
        <w:t>The Quarterly Journal of Economics</w:t>
      </w:r>
      <w:r>
        <w:t xml:space="preserve">, </w:t>
      </w:r>
      <w:r>
        <w:rPr>
          <w:i/>
        </w:rPr>
        <w:t>113</w:t>
      </w:r>
      <w:r>
        <w:t>(3), 653–691.</w:t>
      </w:r>
    </w:p>
    <w:p w14:paraId="67073248" w14:textId="77777777" w:rsidR="006A01C6" w:rsidRDefault="00EC3EE3" w:rsidP="009229E8">
      <w:pPr>
        <w:pStyle w:val="Bibliography"/>
        <w:spacing w:after="0"/>
      </w:pPr>
      <w:bookmarkStart w:id="78" w:name="ref-Hirt2009"/>
      <w:bookmarkEnd w:id="77"/>
      <w:r>
        <w:t xml:space="preserve">Hirt, E. R., &amp; </w:t>
      </w:r>
      <w:proofErr w:type="spellStart"/>
      <w:r>
        <w:t>Mccrea</w:t>
      </w:r>
      <w:proofErr w:type="spellEnd"/>
      <w:r>
        <w:t xml:space="preserve">, S. M. (2009). Man Smart, Woman </w:t>
      </w:r>
      <w:proofErr w:type="gramStart"/>
      <w:r>
        <w:t>Smarter ?</w:t>
      </w:r>
      <w:proofErr w:type="gramEnd"/>
      <w:r>
        <w:t xml:space="preserve"> Getting to the Root of Gender Differences in Self-handicapping. </w:t>
      </w:r>
      <w:r>
        <w:rPr>
          <w:i/>
        </w:rPr>
        <w:t>Social and Personality Psychology Compass</w:t>
      </w:r>
      <w:r>
        <w:t xml:space="preserve">, </w:t>
      </w:r>
      <w:r>
        <w:rPr>
          <w:i/>
        </w:rPr>
        <w:t>3</w:t>
      </w:r>
      <w:r>
        <w:t>, 260–274.</w:t>
      </w:r>
    </w:p>
    <w:p w14:paraId="67073249" w14:textId="77777777" w:rsidR="006A01C6" w:rsidRDefault="00EC3EE3" w:rsidP="009229E8">
      <w:pPr>
        <w:pStyle w:val="Bibliography"/>
        <w:spacing w:after="0"/>
      </w:pPr>
      <w:bookmarkStart w:id="79" w:name="ref-Hirt2003"/>
      <w:bookmarkEnd w:id="78"/>
      <w:r>
        <w:t xml:space="preserve">Hirt, E. R., </w:t>
      </w:r>
      <w:proofErr w:type="spellStart"/>
      <w:r>
        <w:t>Mccrea</w:t>
      </w:r>
      <w:proofErr w:type="spellEnd"/>
      <w:r>
        <w:t xml:space="preserve">, S. M., &amp; Boris, H. I. (2003). "I know you self-handicapped last exam": Gender differences in reactions to self-handicapping. </w:t>
      </w:r>
      <w:r>
        <w:rPr>
          <w:i/>
        </w:rPr>
        <w:t>Journal of Personality and Social Psychology</w:t>
      </w:r>
      <w:r>
        <w:t xml:space="preserve">, </w:t>
      </w:r>
      <w:r>
        <w:rPr>
          <w:i/>
        </w:rPr>
        <w:t>84</w:t>
      </w:r>
      <w:r>
        <w:t xml:space="preserve">(1), 177–193. </w:t>
      </w:r>
      <w:hyperlink r:id="rId26">
        <w:r>
          <w:rPr>
            <w:rStyle w:val="Hyperlink"/>
          </w:rPr>
          <w:t>https://doi.org/10.1037/0022-3514.84.1.177</w:t>
        </w:r>
      </w:hyperlink>
    </w:p>
    <w:p w14:paraId="6707324A" w14:textId="77777777" w:rsidR="006A01C6" w:rsidRDefault="00EC3EE3" w:rsidP="009229E8">
      <w:pPr>
        <w:pStyle w:val="Bibliography"/>
        <w:spacing w:after="0"/>
      </w:pPr>
      <w:bookmarkStart w:id="80" w:name="ref-Jacobs1995"/>
      <w:bookmarkEnd w:id="79"/>
      <w:r>
        <w:t xml:space="preserve">Jacobs, J. A. (1995). Gender and academic specialties: Trends among recipients of college degrees in the 1980s. </w:t>
      </w:r>
      <w:r>
        <w:rPr>
          <w:i/>
        </w:rPr>
        <w:t>Sociology of Education</w:t>
      </w:r>
      <w:r>
        <w:t>, 81–98.</w:t>
      </w:r>
    </w:p>
    <w:p w14:paraId="6707324B" w14:textId="77777777" w:rsidR="006A01C6" w:rsidRDefault="00EC3EE3" w:rsidP="009229E8">
      <w:pPr>
        <w:pStyle w:val="Bibliography"/>
        <w:spacing w:after="0"/>
      </w:pPr>
      <w:bookmarkStart w:id="81" w:name="ref-Jacobsen1994"/>
      <w:bookmarkEnd w:id="80"/>
      <w:r>
        <w:t xml:space="preserve">Jacobsen, J. P. (1994). Sex segregation at work: Trends and predictions. </w:t>
      </w:r>
      <w:r>
        <w:rPr>
          <w:i/>
        </w:rPr>
        <w:t>The Social Science Journal</w:t>
      </w:r>
      <w:r>
        <w:t xml:space="preserve">, </w:t>
      </w:r>
      <w:r>
        <w:rPr>
          <w:i/>
        </w:rPr>
        <w:t>31</w:t>
      </w:r>
      <w:r>
        <w:t xml:space="preserve">(2), 153–169. </w:t>
      </w:r>
      <w:hyperlink r:id="rId27">
        <w:r>
          <w:rPr>
            <w:rStyle w:val="Hyperlink"/>
          </w:rPr>
          <w:t>https://doi.org/10.1016/0362-3319(94)90015-9</w:t>
        </w:r>
      </w:hyperlink>
    </w:p>
    <w:p w14:paraId="6707324C" w14:textId="77777777" w:rsidR="006A01C6" w:rsidRDefault="00EC3EE3" w:rsidP="009229E8">
      <w:pPr>
        <w:pStyle w:val="Bibliography"/>
        <w:spacing w:after="0"/>
      </w:pPr>
      <w:bookmarkStart w:id="82" w:name="ref-Kenney-Benson2006"/>
      <w:bookmarkEnd w:id="81"/>
      <w:r>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28">
        <w:r>
          <w:rPr>
            <w:rStyle w:val="Hyperlink"/>
          </w:rPr>
          <w:t>https://doi.org/10.1037/0012-1649.42.1.11</w:t>
        </w:r>
      </w:hyperlink>
    </w:p>
    <w:p w14:paraId="6707324D" w14:textId="77777777" w:rsidR="006A01C6" w:rsidRDefault="00EC3EE3" w:rsidP="009229E8">
      <w:pPr>
        <w:pStyle w:val="Bibliography"/>
        <w:spacing w:after="0"/>
      </w:pPr>
      <w:bookmarkStart w:id="83" w:name="ref-Kimble2005"/>
      <w:bookmarkEnd w:id="82"/>
      <w:r>
        <w:lastRenderedPageBreak/>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6707324E" w14:textId="77777777" w:rsidR="006A01C6" w:rsidRDefault="00EC3EE3" w:rsidP="009229E8">
      <w:pPr>
        <w:pStyle w:val="Bibliography"/>
        <w:spacing w:after="0"/>
      </w:pPr>
      <w:bookmarkStart w:id="84" w:name="ref-Lavy2004"/>
      <w:bookmarkEnd w:id="83"/>
      <w:proofErr w:type="spellStart"/>
      <w:r>
        <w:t>Lavy</w:t>
      </w:r>
      <w:proofErr w:type="spellEnd"/>
      <w:r>
        <w:t xml:space="preserve">, V. (2004). Performance pay and teachers’ effort, productivity and grading ethics. </w:t>
      </w:r>
      <w:r>
        <w:rPr>
          <w:i/>
        </w:rPr>
        <w:t>NBER WORKING PAPER SERIES</w:t>
      </w:r>
      <w:r>
        <w:t>.</w:t>
      </w:r>
    </w:p>
    <w:p w14:paraId="6707324F" w14:textId="77777777" w:rsidR="006A01C6" w:rsidRDefault="00EC3EE3" w:rsidP="009229E8">
      <w:pPr>
        <w:pStyle w:val="Bibliography"/>
        <w:spacing w:after="0"/>
      </w:pPr>
      <w:bookmarkStart w:id="85" w:name="ref-Lemiuex2009"/>
      <w:bookmarkEnd w:id="84"/>
      <w:r>
        <w:t xml:space="preserve">Lemieux, T., MacLeod, B. W., &amp; Parent, D. (2009). Performance pay and wage inequality. </w:t>
      </w:r>
      <w:r>
        <w:rPr>
          <w:i/>
        </w:rPr>
        <w:t>The Quarterly Journal of Economics</w:t>
      </w:r>
      <w:r>
        <w:t xml:space="preserve">, </w:t>
      </w:r>
      <w:proofErr w:type="gramStart"/>
      <w:r>
        <w:rPr>
          <w:i/>
        </w:rPr>
        <w:t>CXXIV</w:t>
      </w:r>
      <w:r>
        <w:t>(</w:t>
      </w:r>
      <w:proofErr w:type="gramEnd"/>
      <w:r>
        <w:t>1), 1–49.</w:t>
      </w:r>
    </w:p>
    <w:p w14:paraId="67073250" w14:textId="77777777" w:rsidR="006A01C6" w:rsidRDefault="00EC3EE3" w:rsidP="009229E8">
      <w:pPr>
        <w:pStyle w:val="Bibliography"/>
        <w:spacing w:after="0"/>
      </w:pPr>
      <w:bookmarkStart w:id="86" w:name="ref-Lenney1977"/>
      <w:bookmarkEnd w:id="85"/>
      <w:proofErr w:type="spellStart"/>
      <w:r>
        <w:t>Lenney</w:t>
      </w:r>
      <w:proofErr w:type="spellEnd"/>
      <w:r>
        <w:t xml:space="preserve">, E. (1977). Women’s self-confidence in achievement settings. </w:t>
      </w:r>
      <w:r>
        <w:rPr>
          <w:i/>
        </w:rPr>
        <w:t>Psychological Bulletin</w:t>
      </w:r>
      <w:r>
        <w:t xml:space="preserve">, </w:t>
      </w:r>
      <w:r>
        <w:rPr>
          <w:i/>
        </w:rPr>
        <w:t>84</w:t>
      </w:r>
      <w:r>
        <w:t xml:space="preserve">(1), 1–13. </w:t>
      </w:r>
      <w:hyperlink r:id="rId29">
        <w:r>
          <w:rPr>
            <w:rStyle w:val="Hyperlink"/>
          </w:rPr>
          <w:t>https://doi.org/10.1037/0033-2909.84.1.1</w:t>
        </w:r>
      </w:hyperlink>
    </w:p>
    <w:p w14:paraId="67073251" w14:textId="77777777" w:rsidR="006A01C6" w:rsidRDefault="00EC3EE3" w:rsidP="009229E8">
      <w:pPr>
        <w:pStyle w:val="Bibliography"/>
        <w:spacing w:after="0"/>
      </w:pPr>
      <w:bookmarkStart w:id="87" w:name="ref-Leslie2015"/>
      <w:bookmarkEnd w:id="86"/>
      <w:r>
        <w:t xml:space="preserve">Leslie, S.-J., </w:t>
      </w:r>
      <w:proofErr w:type="spellStart"/>
      <w:r>
        <w:t>Cimpian</w:t>
      </w:r>
      <w:proofErr w:type="spellEnd"/>
      <w:r>
        <w:t xml:space="preserve">, A., Meyer, M., &amp; Freeland, E. (2015). Expectations of brilliance underlie gender distributions across academic disciplines. </w:t>
      </w:r>
      <w:r>
        <w:rPr>
          <w:i/>
        </w:rPr>
        <w:t>Science</w:t>
      </w:r>
      <w:r>
        <w:t xml:space="preserve">, </w:t>
      </w:r>
      <w:r>
        <w:rPr>
          <w:i/>
        </w:rPr>
        <w:t>347</w:t>
      </w:r>
      <w:r>
        <w:t xml:space="preserve">(6219), 23–34. </w:t>
      </w:r>
      <w:hyperlink r:id="rId30">
        <w:r>
          <w:rPr>
            <w:rStyle w:val="Hyperlink"/>
          </w:rPr>
          <w:t>https://doi.org/10.1081/E-EWS</w:t>
        </w:r>
      </w:hyperlink>
    </w:p>
    <w:p w14:paraId="67073252" w14:textId="77777777" w:rsidR="006A01C6" w:rsidRDefault="00EC3EE3" w:rsidP="009229E8">
      <w:pPr>
        <w:pStyle w:val="Bibliography"/>
        <w:spacing w:after="0"/>
      </w:pPr>
      <w:bookmarkStart w:id="88" w:name="ref-Levanon2009"/>
      <w:bookmarkEnd w:id="87"/>
      <w:proofErr w:type="spellStart"/>
      <w:r>
        <w:t>Levanon</w:t>
      </w:r>
      <w:proofErr w:type="spellEnd"/>
      <w:r>
        <w:t xml:space="preserve">, A., England, P., &amp; Allison, P. (2009). Occupational feminization and pay: Assessing causal dynamics using 1950-2000 U.S. Census data. </w:t>
      </w:r>
      <w:r>
        <w:rPr>
          <w:i/>
        </w:rPr>
        <w:t>Social Forces</w:t>
      </w:r>
      <w:r>
        <w:t xml:space="preserve">, </w:t>
      </w:r>
      <w:r>
        <w:rPr>
          <w:i/>
        </w:rPr>
        <w:t>88</w:t>
      </w:r>
      <w:r>
        <w:t xml:space="preserve">(2), 865–891. </w:t>
      </w:r>
      <w:hyperlink r:id="rId31">
        <w:r>
          <w:rPr>
            <w:rStyle w:val="Hyperlink"/>
          </w:rPr>
          <w:t>https://doi.org/10.1353/sof.0.0264</w:t>
        </w:r>
      </w:hyperlink>
    </w:p>
    <w:p w14:paraId="67073253" w14:textId="77777777" w:rsidR="006A01C6" w:rsidRDefault="00EC3EE3" w:rsidP="009229E8">
      <w:pPr>
        <w:pStyle w:val="Bibliography"/>
        <w:spacing w:after="0"/>
      </w:pPr>
      <w:bookmarkStart w:id="89" w:name="ref-Lucas2005"/>
      <w:bookmarkEnd w:id="88"/>
      <w:r>
        <w:t xml:space="preserve">Lucas, J. W., &amp; </w:t>
      </w:r>
      <w:proofErr w:type="spellStart"/>
      <w:r>
        <w:t>Lovaglia</w:t>
      </w:r>
      <w:proofErr w:type="spellEnd"/>
      <w:r>
        <w:t xml:space="preserve">, M. J. (2005). Self-handicapping: Gender, race, and status. </w:t>
      </w:r>
      <w:r>
        <w:rPr>
          <w:i/>
        </w:rPr>
        <w:t>Current Research in Social Psychology</w:t>
      </w:r>
      <w:r>
        <w:t xml:space="preserve">, </w:t>
      </w:r>
      <w:r>
        <w:rPr>
          <w:i/>
        </w:rPr>
        <w:t>10</w:t>
      </w:r>
      <w:r>
        <w:t>(15), 234–249.</w:t>
      </w:r>
    </w:p>
    <w:p w14:paraId="67073254" w14:textId="77777777" w:rsidR="006A01C6" w:rsidRDefault="00EC3EE3" w:rsidP="009229E8">
      <w:pPr>
        <w:pStyle w:val="Bibliography"/>
        <w:spacing w:after="0"/>
      </w:pPr>
      <w:bookmarkStart w:id="90" w:name="ref-Maccoby1974"/>
      <w:bookmarkEnd w:id="89"/>
      <w:r>
        <w:t xml:space="preserve">Maccoby, E., &amp; Jacklin, C. (1974). Myth, reality and shades of gray-what we know and don’t know about sex differences. </w:t>
      </w:r>
      <w:r>
        <w:rPr>
          <w:i/>
        </w:rPr>
        <w:t>Psychology Today</w:t>
      </w:r>
      <w:r>
        <w:t>, 109–112.</w:t>
      </w:r>
    </w:p>
    <w:p w14:paraId="67073255" w14:textId="77777777" w:rsidR="006A01C6" w:rsidRDefault="00EC3EE3" w:rsidP="009229E8">
      <w:pPr>
        <w:pStyle w:val="Bibliography"/>
        <w:spacing w:after="0"/>
      </w:pPr>
      <w:bookmarkStart w:id="91" w:name="ref-Mason2012"/>
      <w:bookmarkEnd w:id="90"/>
      <w:r>
        <w:t xml:space="preserve">Mason, W., &amp; Suri, S. (2012). Conducting behavioral research on Amazon’s Mechanical Turk. </w:t>
      </w:r>
      <w:r>
        <w:rPr>
          <w:i/>
        </w:rPr>
        <w:t>Behavior Research Methods</w:t>
      </w:r>
      <w:r>
        <w:t xml:space="preserve">, </w:t>
      </w:r>
      <w:r>
        <w:rPr>
          <w:i/>
        </w:rPr>
        <w:t>44</w:t>
      </w:r>
      <w:r>
        <w:t xml:space="preserve">(1), 1–23. </w:t>
      </w:r>
      <w:hyperlink r:id="rId32">
        <w:r>
          <w:rPr>
            <w:rStyle w:val="Hyperlink"/>
          </w:rPr>
          <w:t>https://doi.org/10.3758/s13428-011-0124-6</w:t>
        </w:r>
      </w:hyperlink>
    </w:p>
    <w:p w14:paraId="67073256" w14:textId="77777777" w:rsidR="006A01C6" w:rsidRDefault="00EC3EE3" w:rsidP="009229E8">
      <w:pPr>
        <w:pStyle w:val="Bibliography"/>
        <w:spacing w:after="0"/>
      </w:pPr>
      <w:bookmarkStart w:id="92" w:name="ref-Mccrea2008"/>
      <w:bookmarkEnd w:id="91"/>
      <w:proofErr w:type="spellStart"/>
      <w:r>
        <w:t>Mccrea</w:t>
      </w:r>
      <w:proofErr w:type="spellEnd"/>
      <w:r>
        <w:t xml:space="preserve">, S. M., Hirt, E. R., &amp; Milner, B. J. (2008). She works hard for the money: Valuing effort underlies gender differences in behavioral self-handicapping q. </w:t>
      </w:r>
      <w:r>
        <w:rPr>
          <w:i/>
        </w:rPr>
        <w:t>Journal of Experimental Social Psychology</w:t>
      </w:r>
      <w:r>
        <w:t xml:space="preserve">, </w:t>
      </w:r>
      <w:r>
        <w:rPr>
          <w:i/>
        </w:rPr>
        <w:t>44</w:t>
      </w:r>
      <w:r>
        <w:t xml:space="preserve">, 292–311. </w:t>
      </w:r>
      <w:hyperlink r:id="rId33">
        <w:r>
          <w:rPr>
            <w:rStyle w:val="Hyperlink"/>
          </w:rPr>
          <w:t>https://doi.org/10.1016/j.jesp.2007.05.006</w:t>
        </w:r>
      </w:hyperlink>
    </w:p>
    <w:p w14:paraId="67073257" w14:textId="77777777" w:rsidR="006A01C6" w:rsidRDefault="00EC3EE3" w:rsidP="009229E8">
      <w:pPr>
        <w:pStyle w:val="Bibliography"/>
        <w:spacing w:after="0"/>
      </w:pPr>
      <w:bookmarkStart w:id="93" w:name="ref-McGee2015"/>
      <w:bookmarkEnd w:id="92"/>
      <w:r>
        <w:lastRenderedPageBreak/>
        <w:t xml:space="preserve">McGee, A., McGee, P., &amp; Pan, J. (2015). Performance pay, competitiveness, and the gender wage gap: Evidence from the United States. </w:t>
      </w:r>
      <w:r>
        <w:rPr>
          <w:i/>
        </w:rPr>
        <w:t>Economic Letters</w:t>
      </w:r>
      <w:r>
        <w:t xml:space="preserve">, </w:t>
      </w:r>
      <w:r>
        <w:rPr>
          <w:i/>
        </w:rPr>
        <w:t>128</w:t>
      </w:r>
      <w:r>
        <w:t>, 35–38.</w:t>
      </w:r>
    </w:p>
    <w:p w14:paraId="67073258" w14:textId="77777777" w:rsidR="006A01C6" w:rsidRDefault="00EC3EE3" w:rsidP="009229E8">
      <w:pPr>
        <w:pStyle w:val="Bibliography"/>
        <w:spacing w:after="0"/>
      </w:pPr>
      <w:bookmarkStart w:id="94" w:name="ref-Murphy1999"/>
      <w:bookmarkEnd w:id="93"/>
      <w:r>
        <w:t xml:space="preserve">Murphy, K. J. (1999). Executive compensation. In </w:t>
      </w:r>
      <w:r>
        <w:rPr>
          <w:i/>
        </w:rPr>
        <w:t>Handbook of labor economics</w:t>
      </w:r>
      <w:r>
        <w:t xml:space="preserve"> (pp. 2485–2563). </w:t>
      </w:r>
      <w:hyperlink r:id="rId34">
        <w:r>
          <w:rPr>
            <w:rStyle w:val="Hyperlink"/>
          </w:rPr>
          <w:t>papers3://publication/uuid/3DC06196-20D7-49BE-9E07-5779C52B93A7</w:t>
        </w:r>
      </w:hyperlink>
    </w:p>
    <w:p w14:paraId="67073259" w14:textId="77777777" w:rsidR="006A01C6" w:rsidRDefault="00EC3EE3" w:rsidP="009229E8">
      <w:pPr>
        <w:pStyle w:val="Bibliography"/>
        <w:spacing w:after="0"/>
      </w:pPr>
      <w:bookmarkStart w:id="95" w:name="ref-Niederle2014"/>
      <w:bookmarkEnd w:id="94"/>
      <w:proofErr w:type="spellStart"/>
      <w:r>
        <w:t>Niederle</w:t>
      </w:r>
      <w:proofErr w:type="spellEnd"/>
      <w:r>
        <w:t xml:space="preserve">, M. (2014). Gender. </w:t>
      </w:r>
      <w:r>
        <w:rPr>
          <w:i/>
        </w:rPr>
        <w:t>Handbook of Experimental Economics</w:t>
      </w:r>
      <w:r>
        <w:t xml:space="preserve">, </w:t>
      </w:r>
      <w:r>
        <w:rPr>
          <w:i/>
        </w:rPr>
        <w:t>2</w:t>
      </w:r>
      <w:r>
        <w:t xml:space="preserve">, 1–120. </w:t>
      </w:r>
      <w:hyperlink r:id="rId35">
        <w:r>
          <w:rPr>
            <w:rStyle w:val="Hyperlink"/>
          </w:rPr>
          <w:t>http://web.stanford.edu/{~}niederle/Gender.Niederle.pdf</w:t>
        </w:r>
      </w:hyperlink>
    </w:p>
    <w:p w14:paraId="6707325A" w14:textId="77777777" w:rsidR="006A01C6" w:rsidRDefault="00EC3EE3" w:rsidP="009229E8">
      <w:pPr>
        <w:pStyle w:val="Bibliography"/>
        <w:spacing w:after="0"/>
      </w:pPr>
      <w:bookmarkStart w:id="96" w:name="ref-Niederle2007"/>
      <w:bookmarkEnd w:id="95"/>
      <w:proofErr w:type="spellStart"/>
      <w:r>
        <w:t>Niederle</w:t>
      </w:r>
      <w:proofErr w:type="spellEnd"/>
      <w:r>
        <w:t xml:space="preserve">, M., &amp; </w:t>
      </w:r>
      <w:proofErr w:type="spellStart"/>
      <w:r>
        <w:t>Vesterlund</w:t>
      </w:r>
      <w:proofErr w:type="spellEnd"/>
      <w:r>
        <w:t xml:space="preserve">, L. (2007). Do Women Shy Away </w:t>
      </w:r>
      <w:proofErr w:type="gramStart"/>
      <w:r>
        <w:t>From</w:t>
      </w:r>
      <w:proofErr w:type="gramEnd"/>
      <w:r>
        <w:t xml:space="preserve"> Competition? Do Men Compete Too Much? </w:t>
      </w:r>
      <w:r>
        <w:rPr>
          <w:i/>
        </w:rPr>
        <w:t>The Quarterly Journal of Economics</w:t>
      </w:r>
      <w:r>
        <w:t xml:space="preserve">, 1067–1101. </w:t>
      </w:r>
      <w:hyperlink r:id="rId36">
        <w:r>
          <w:rPr>
            <w:rStyle w:val="Hyperlink"/>
          </w:rPr>
          <w:t>https://web.stanford.edu/{~}niederle/Niederle.Vesterlund.QJE.2007.pdf</w:t>
        </w:r>
      </w:hyperlink>
    </w:p>
    <w:p w14:paraId="6707325B" w14:textId="77777777" w:rsidR="006A01C6" w:rsidRDefault="00EC3EE3" w:rsidP="009229E8">
      <w:pPr>
        <w:pStyle w:val="Bibliography"/>
        <w:spacing w:after="0"/>
      </w:pPr>
      <w:bookmarkStart w:id="97" w:name="ref-Niederle2011"/>
      <w:bookmarkEnd w:id="96"/>
      <w:proofErr w:type="spellStart"/>
      <w:r>
        <w:t>Niederle</w:t>
      </w:r>
      <w:proofErr w:type="spellEnd"/>
      <w:r>
        <w:t xml:space="preserve">, M., &amp; </w:t>
      </w:r>
      <w:proofErr w:type="spellStart"/>
      <w:r>
        <w:t>Vesterlund</w:t>
      </w:r>
      <w:proofErr w:type="spellEnd"/>
      <w:r>
        <w:t xml:space="preserve">, L. (2011). Gender and competition. </w:t>
      </w:r>
      <w:r>
        <w:rPr>
          <w:i/>
        </w:rPr>
        <w:t>Annual Review of Economics</w:t>
      </w:r>
      <w:r>
        <w:t xml:space="preserve">, </w:t>
      </w:r>
      <w:r>
        <w:rPr>
          <w:i/>
        </w:rPr>
        <w:t>3</w:t>
      </w:r>
      <w:r>
        <w:t xml:space="preserve">, 601–630. </w:t>
      </w:r>
      <w:hyperlink r:id="rId37">
        <w:r>
          <w:rPr>
            <w:rStyle w:val="Hyperlink"/>
          </w:rPr>
          <w:t>https://doi.org/10.1016/j.labeco.2009.08.002</w:t>
        </w:r>
      </w:hyperlink>
    </w:p>
    <w:p w14:paraId="6707325C" w14:textId="77777777" w:rsidR="006A01C6" w:rsidRDefault="00EC3EE3" w:rsidP="009229E8">
      <w:pPr>
        <w:pStyle w:val="Bibliography"/>
        <w:spacing w:after="0"/>
      </w:pPr>
      <w:bookmarkStart w:id="98" w:name="ref-Nosek2002"/>
      <w:bookmarkEnd w:id="97"/>
      <w:proofErr w:type="spellStart"/>
      <w:r>
        <w:t>Nosek</w:t>
      </w:r>
      <w:proofErr w:type="spellEnd"/>
      <w:r>
        <w:t xml:space="preserve">, B. A., </w:t>
      </w:r>
      <w:proofErr w:type="spellStart"/>
      <w:r>
        <w:t>Banaji</w:t>
      </w:r>
      <w:proofErr w:type="spellEnd"/>
      <w:r>
        <w:t xml:space="preserve">, M. R., &amp; Greenwald, A. G. (2002). Math = male, me = female, therefore math ≠ me. </w:t>
      </w:r>
      <w:r>
        <w:rPr>
          <w:i/>
        </w:rPr>
        <w:t>Journal of Personality and Social Psychology</w:t>
      </w:r>
      <w:r>
        <w:t xml:space="preserve">, </w:t>
      </w:r>
      <w:r>
        <w:rPr>
          <w:i/>
        </w:rPr>
        <w:t>83</w:t>
      </w:r>
      <w:r>
        <w:t xml:space="preserve">(1), 44–59. </w:t>
      </w:r>
      <w:hyperlink r:id="rId38">
        <w:r>
          <w:rPr>
            <w:rStyle w:val="Hyperlink"/>
          </w:rPr>
          <w:t>https://doi.org/10.1037//0022-3514.83.1.44</w:t>
        </w:r>
      </w:hyperlink>
    </w:p>
    <w:p w14:paraId="6707325D" w14:textId="77777777" w:rsidR="006A01C6" w:rsidRDefault="00EC3EE3" w:rsidP="009229E8">
      <w:pPr>
        <w:pStyle w:val="Bibliography"/>
        <w:spacing w:after="0"/>
      </w:pPr>
      <w:bookmarkStart w:id="99" w:name="ref-Power1998"/>
      <w:bookmarkEnd w:id="98"/>
      <w:r>
        <w:t xml:space="preserve">Power, S., Whitty, G., Edwards, T., &amp; Wigfall, V. (1998). Schoolboys and schoolwork: gender identification and academic achievement. </w:t>
      </w:r>
      <w:r>
        <w:rPr>
          <w:i/>
        </w:rPr>
        <w:t>International Journal of Inclusive Education</w:t>
      </w:r>
      <w:r>
        <w:t xml:space="preserve">, </w:t>
      </w:r>
      <w:r>
        <w:rPr>
          <w:i/>
        </w:rPr>
        <w:t>2</w:t>
      </w:r>
      <w:r>
        <w:t>(2), 135–153.</w:t>
      </w:r>
    </w:p>
    <w:p w14:paraId="6707325E" w14:textId="77777777" w:rsidR="006A01C6" w:rsidRDefault="00EC3EE3" w:rsidP="009229E8">
      <w:pPr>
        <w:pStyle w:val="Bibliography"/>
        <w:spacing w:after="0"/>
      </w:pPr>
      <w:bookmarkStart w:id="100" w:name="ref-Rand2012"/>
      <w:bookmarkEnd w:id="99"/>
      <w:r>
        <w:t xml:space="preserve">Rand, D. G. (2012). The promise of Mechanical Turk: How online labor markets can help theorists run behavioral experiments. </w:t>
      </w:r>
      <w:r>
        <w:rPr>
          <w:i/>
        </w:rPr>
        <w:t>Journal of Theoretical Biology</w:t>
      </w:r>
      <w:r>
        <w:t xml:space="preserve">, </w:t>
      </w:r>
      <w:r>
        <w:rPr>
          <w:i/>
        </w:rPr>
        <w:t>299</w:t>
      </w:r>
      <w:r>
        <w:t xml:space="preserve">, 172–179. </w:t>
      </w:r>
      <w:hyperlink r:id="rId39">
        <w:r>
          <w:rPr>
            <w:rStyle w:val="Hyperlink"/>
          </w:rPr>
          <w:t>https://doi.org/10.1016/j.jtbi.2011.03.004</w:t>
        </w:r>
      </w:hyperlink>
    </w:p>
    <w:p w14:paraId="6707325F" w14:textId="77777777" w:rsidR="006A01C6" w:rsidRDefault="00EC3EE3" w:rsidP="009229E8">
      <w:pPr>
        <w:pStyle w:val="Bibliography"/>
        <w:spacing w:after="0"/>
      </w:pPr>
      <w:bookmarkStart w:id="101" w:name="ref-Reips2000"/>
      <w:bookmarkEnd w:id="100"/>
      <w:proofErr w:type="spellStart"/>
      <w:r>
        <w:t>Reips</w:t>
      </w:r>
      <w:proofErr w:type="spellEnd"/>
      <w:r>
        <w:t xml:space="preserve">, U.-D. (2000). The web experiment method: Advantages, disadvantages, and solutions. In </w:t>
      </w:r>
      <w:r>
        <w:rPr>
          <w:i/>
        </w:rPr>
        <w:t>Psychological experiments on the internet</w:t>
      </w:r>
      <w:r>
        <w:t xml:space="preserve"> (pp. 89–117). </w:t>
      </w:r>
      <w:hyperlink r:id="rId40">
        <w:r>
          <w:rPr>
            <w:rStyle w:val="Hyperlink"/>
          </w:rPr>
          <w:t>https://doi.org/10.1016/b978-012099980-4/50005-8</w:t>
        </w:r>
      </w:hyperlink>
    </w:p>
    <w:p w14:paraId="67073260" w14:textId="77777777" w:rsidR="006A01C6" w:rsidRDefault="00EC3EE3" w:rsidP="009229E8">
      <w:pPr>
        <w:pStyle w:val="Bibliography"/>
        <w:spacing w:after="0"/>
      </w:pPr>
      <w:bookmarkStart w:id="102" w:name="ref-Reskin1993"/>
      <w:bookmarkEnd w:id="101"/>
      <w:r>
        <w:lastRenderedPageBreak/>
        <w:t xml:space="preserve">Reskin, B. (1993). Sex segregation in the workplace. </w:t>
      </w:r>
      <w:r>
        <w:rPr>
          <w:i/>
        </w:rPr>
        <w:t>Annual Review of Sociology</w:t>
      </w:r>
      <w:r>
        <w:t xml:space="preserve">, </w:t>
      </w:r>
      <w:r>
        <w:rPr>
          <w:i/>
        </w:rPr>
        <w:t>19</w:t>
      </w:r>
      <w:r>
        <w:t>, 241–270.</w:t>
      </w:r>
    </w:p>
    <w:p w14:paraId="67073261" w14:textId="77777777" w:rsidR="006A01C6" w:rsidRDefault="00EC3EE3" w:rsidP="009229E8">
      <w:pPr>
        <w:pStyle w:val="Bibliography"/>
        <w:spacing w:after="0"/>
      </w:pPr>
      <w:bookmarkStart w:id="103" w:name="ref-Reuben2015"/>
      <w:bookmarkEnd w:id="102"/>
      <w:r>
        <w:t xml:space="preserve">Reuben, E., Sapienza, P., &amp; Zingales, L. (2015). Taste for competition and the gender gap among young business professionals. </w:t>
      </w:r>
      <w:r>
        <w:rPr>
          <w:i/>
        </w:rPr>
        <w:t>NBER WORKING PAPER SERIES</w:t>
      </w:r>
      <w:r>
        <w:t>.</w:t>
      </w:r>
    </w:p>
    <w:p w14:paraId="67073262" w14:textId="77777777" w:rsidR="006A01C6" w:rsidRDefault="00EC3EE3" w:rsidP="009229E8">
      <w:pPr>
        <w:pStyle w:val="Bibliography"/>
        <w:spacing w:after="0"/>
      </w:pPr>
      <w:bookmarkStart w:id="104" w:name="ref-Richards2020"/>
      <w:bookmarkEnd w:id="103"/>
      <w:r>
        <w:t xml:space="preserve">Richards, K., Nave, G., &amp; </w:t>
      </w:r>
      <w:proofErr w:type="spellStart"/>
      <w:r>
        <w:t>Apicella</w:t>
      </w:r>
      <w:proofErr w:type="spellEnd"/>
      <w:r>
        <w:t xml:space="preserve">, C. L. (2020). The effects of preparation on gender differences in willingness to compete. </w:t>
      </w:r>
      <w:r>
        <w:rPr>
          <w:i/>
        </w:rPr>
        <w:t>Manuscript in Preparation</w:t>
      </w:r>
      <w:r>
        <w:t>.</w:t>
      </w:r>
    </w:p>
    <w:p w14:paraId="67073263" w14:textId="77777777" w:rsidR="006A01C6" w:rsidRDefault="00EC3EE3" w:rsidP="009229E8">
      <w:pPr>
        <w:pStyle w:val="Bibliography"/>
        <w:spacing w:after="0"/>
      </w:pPr>
      <w:bookmarkStart w:id="105" w:name="ref-Swim1994"/>
      <w:bookmarkEnd w:id="104"/>
      <w:r>
        <w:t xml:space="preserve">Swim, J. K. (1994). Perceived versus meta-analytic effect sizes: An assessment of the accuracy of gender stereotypes. </w:t>
      </w:r>
      <w:r>
        <w:rPr>
          <w:i/>
        </w:rPr>
        <w:t>Journal of Personality and Social Psychology</w:t>
      </w:r>
      <w:r>
        <w:t xml:space="preserve">, </w:t>
      </w:r>
      <w:r>
        <w:rPr>
          <w:i/>
        </w:rPr>
        <w:t>66</w:t>
      </w:r>
      <w:r>
        <w:t>(1), 21–36.</w:t>
      </w:r>
    </w:p>
    <w:p w14:paraId="67073264" w14:textId="77777777" w:rsidR="006A01C6" w:rsidRDefault="00EC3EE3" w:rsidP="009229E8">
      <w:pPr>
        <w:pStyle w:val="Bibliography"/>
        <w:spacing w:after="0"/>
      </w:pPr>
      <w:bookmarkStart w:id="106" w:name="ref-Usher2008"/>
      <w:bookmarkEnd w:id="105"/>
      <w:r>
        <w:t xml:space="preserve">Usher, E. L., &amp; </w:t>
      </w:r>
      <w:proofErr w:type="spellStart"/>
      <w:r>
        <w:t>Pajares</w:t>
      </w:r>
      <w:proofErr w:type="spellEnd"/>
      <w:r>
        <w:t xml:space="preserve">, F. (2008). Sources of self-efficacy in school: Critical review of the literature and future directions. </w:t>
      </w:r>
      <w:r>
        <w:rPr>
          <w:i/>
        </w:rPr>
        <w:t>Review of Educational Research</w:t>
      </w:r>
      <w:r>
        <w:t xml:space="preserve">, </w:t>
      </w:r>
      <w:r>
        <w:rPr>
          <w:i/>
        </w:rPr>
        <w:t>78</w:t>
      </w:r>
      <w:r>
        <w:t xml:space="preserve">(4), 751–796. </w:t>
      </w:r>
      <w:hyperlink r:id="rId41">
        <w:r>
          <w:rPr>
            <w:rStyle w:val="Hyperlink"/>
          </w:rPr>
          <w:t>https://doi.org/10.3102/0034654308321456</w:t>
        </w:r>
      </w:hyperlink>
    </w:p>
    <w:p w14:paraId="67073265" w14:textId="77777777" w:rsidR="006A01C6" w:rsidRDefault="00EC3EE3" w:rsidP="009229E8">
      <w:pPr>
        <w:pStyle w:val="Bibliography"/>
        <w:spacing w:after="0"/>
      </w:pPr>
      <w:bookmarkStart w:id="107" w:name="ref-Zhang2012"/>
      <w:bookmarkEnd w:id="106"/>
      <w:r>
        <w:t xml:space="preserve">Zhang, Y. J. (2012). Can experimental economics explain competitive behavior outside the lab? </w:t>
      </w:r>
      <w:r>
        <w:rPr>
          <w:i/>
        </w:rPr>
        <w:t>Unpublished Manuscript</w:t>
      </w:r>
      <w:r>
        <w:t xml:space="preserve">, 1–45. </w:t>
      </w:r>
      <w:hyperlink r:id="rId42">
        <w:r>
          <w:rPr>
            <w:rStyle w:val="Hyperlink"/>
          </w:rPr>
          <w:t>https://doi.org/10.2139/ssrn.2292929</w:t>
        </w:r>
      </w:hyperlink>
    </w:p>
    <w:p w14:paraId="67073266" w14:textId="77777777" w:rsidR="006A01C6" w:rsidRDefault="00EC3EE3" w:rsidP="009229E8">
      <w:pPr>
        <w:pStyle w:val="Bibliography"/>
        <w:spacing w:after="0"/>
      </w:pPr>
      <w:bookmarkStart w:id="108" w:name="ref-Zhou2016"/>
      <w:bookmarkEnd w:id="107"/>
      <w:r>
        <w:t xml:space="preserve">Zhou, H., &amp; </w:t>
      </w:r>
      <w:proofErr w:type="spellStart"/>
      <w:r>
        <w:t>Fishbach</w:t>
      </w:r>
      <w:proofErr w:type="spellEnd"/>
      <w:r>
        <w:t xml:space="preserve">, A. (2016). The pitfall of experimenting on the Web: How unattended selective attrition leads to surprising (yet false) research conclusions. </w:t>
      </w:r>
      <w:r>
        <w:rPr>
          <w:i/>
        </w:rPr>
        <w:t>Journal of Personality and Social Psychology</w:t>
      </w:r>
      <w:r>
        <w:t xml:space="preserve">, </w:t>
      </w:r>
      <w:r>
        <w:rPr>
          <w:i/>
        </w:rPr>
        <w:t>111</w:t>
      </w:r>
      <w:r>
        <w:t xml:space="preserve">(4), 493–504. </w:t>
      </w:r>
      <w:hyperlink r:id="rId43">
        <w:r>
          <w:rPr>
            <w:rStyle w:val="Hyperlink"/>
          </w:rPr>
          <w:t>https://doi.org/10.1037/pspa0000056</w:t>
        </w:r>
      </w:hyperlink>
      <w:bookmarkEnd w:id="51"/>
      <w:bookmarkEnd w:id="108"/>
    </w:p>
    <w:sectPr w:rsidR="006A01C6">
      <w:footerReference w:type="defaul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864FC" w14:textId="77777777" w:rsidR="00CA6BE1" w:rsidRDefault="00CA6BE1">
      <w:pPr>
        <w:spacing w:after="0"/>
      </w:pPr>
      <w:r>
        <w:separator/>
      </w:r>
    </w:p>
  </w:endnote>
  <w:endnote w:type="continuationSeparator" w:id="0">
    <w:p w14:paraId="6E8A359D" w14:textId="77777777" w:rsidR="00CA6BE1" w:rsidRDefault="00CA6B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7073271" w14:textId="77777777" w:rsidR="00E7211E" w:rsidRDefault="00EC3E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73272" w14:textId="77777777" w:rsidR="00E7211E" w:rsidRDefault="001F3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2F7EF" w14:textId="77777777" w:rsidR="00CA6BE1" w:rsidRDefault="00CA6BE1">
      <w:r>
        <w:separator/>
      </w:r>
    </w:p>
  </w:footnote>
  <w:footnote w:type="continuationSeparator" w:id="0">
    <w:p w14:paraId="33DFB30C" w14:textId="77777777" w:rsidR="00CA6BE1" w:rsidRDefault="00CA6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562A"/>
    <w:rsid w:val="001F3BDE"/>
    <w:rsid w:val="003C183C"/>
    <w:rsid w:val="00471D38"/>
    <w:rsid w:val="004E29B3"/>
    <w:rsid w:val="00533EC1"/>
    <w:rsid w:val="00542DA5"/>
    <w:rsid w:val="00590D07"/>
    <w:rsid w:val="005A418F"/>
    <w:rsid w:val="006535B4"/>
    <w:rsid w:val="0065712F"/>
    <w:rsid w:val="00692FDA"/>
    <w:rsid w:val="006A01C6"/>
    <w:rsid w:val="00784D58"/>
    <w:rsid w:val="007D19DD"/>
    <w:rsid w:val="008D6863"/>
    <w:rsid w:val="009229E8"/>
    <w:rsid w:val="00AA2DAE"/>
    <w:rsid w:val="00B86B75"/>
    <w:rsid w:val="00BC48D5"/>
    <w:rsid w:val="00C36279"/>
    <w:rsid w:val="00CA6BE1"/>
    <w:rsid w:val="00E045E6"/>
    <w:rsid w:val="00E315A3"/>
    <w:rsid w:val="00EC3EE3"/>
    <w:rsid w:val="00EE2CAE"/>
    <w:rsid w:val="00EF6155"/>
    <w:rsid w:val="00EF797E"/>
    <w:rsid w:val="00F0088C"/>
    <w:rsid w:val="00F12CE9"/>
    <w:rsid w:val="00FB65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31A4"/>
  <w15:docId w15:val="{3789EAD2-5939-4BA3-ABA8-CDA96222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roachingblog.wordpress.com/2018/01/24/powering-your-interaction-2/" TargetMode="External"/><Relationship Id="rId13" Type="http://schemas.openxmlformats.org/officeDocument/2006/relationships/image" Target="media/image3.png"/><Relationship Id="rId18" Type="http://schemas.openxmlformats.org/officeDocument/2006/relationships/hyperlink" Target="https://doi.org/10.1111/ecoj.12101" TargetMode="External"/><Relationship Id="rId26" Type="http://schemas.openxmlformats.org/officeDocument/2006/relationships/hyperlink" Target="https://doi.org/10.1037/0022-3514.84.1.177" TargetMode="External"/><Relationship Id="rId39" Type="http://schemas.openxmlformats.org/officeDocument/2006/relationships/hyperlink" Target="https://doi.org/10.1016/j.jtbi.2011.03.004" TargetMode="External"/><Relationship Id="rId3" Type="http://schemas.openxmlformats.org/officeDocument/2006/relationships/settings" Target="settings.xml"/><Relationship Id="rId21" Type="http://schemas.openxmlformats.org/officeDocument/2006/relationships/hyperlink" Target="https://doi.org/10.1177/1745691610393980" TargetMode="External"/><Relationship Id="rId34" Type="http://schemas.openxmlformats.org/officeDocument/2006/relationships/hyperlink" Target="papers3://publication/uuid/3DC06196-20D7-49BE-9E07-5779C52B93A7" TargetMode="External"/><Relationship Id="rId42" Type="http://schemas.openxmlformats.org/officeDocument/2006/relationships/hyperlink" Target="https://doi.org/10.2139/ssrn.2292929" TargetMode="External"/><Relationship Id="rId7" Type="http://schemas.openxmlformats.org/officeDocument/2006/relationships/hyperlink" Target="http://datacolada.org/17" TargetMode="External"/><Relationship Id="rId12" Type="http://schemas.openxmlformats.org/officeDocument/2006/relationships/image" Target="media/image2.png"/><Relationship Id="rId17" Type="http://schemas.openxmlformats.org/officeDocument/2006/relationships/hyperlink" Target="https://doi.org/DOI:" TargetMode="External"/><Relationship Id="rId25" Type="http://schemas.openxmlformats.org/officeDocument/2006/relationships/hyperlink" Target="https://doi.org/10.3982/QE309" TargetMode="External"/><Relationship Id="rId33" Type="http://schemas.openxmlformats.org/officeDocument/2006/relationships/hyperlink" Target="https://doi.org/10.1016/j.jesp.2007.05.006" TargetMode="External"/><Relationship Id="rId38" Type="http://schemas.openxmlformats.org/officeDocument/2006/relationships/hyperlink" Target="https://doi.org/10.1037//0022-3514.83.1.44"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B978-0-08-097086-8.26099-6" TargetMode="External"/><Relationship Id="rId20" Type="http://schemas.openxmlformats.org/officeDocument/2006/relationships/hyperlink" Target="https://doi.org/10.1257/jel.20160995" TargetMode="External"/><Relationship Id="rId29" Type="http://schemas.openxmlformats.org/officeDocument/2006/relationships/hyperlink" Target="https://doi.org/10.1037/0033-2909.84.1.1" TargetMode="External"/><Relationship Id="rId41" Type="http://schemas.openxmlformats.org/officeDocument/2006/relationships/hyperlink" Target="https://doi.org/10.3102/00346543083214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 TargetMode="External"/><Relationship Id="rId24" Type="http://schemas.openxmlformats.org/officeDocument/2006/relationships/hyperlink" Target="https://doi.org/http://dx.doi.org/10.1016/j.poly.2014.08.015" TargetMode="External"/><Relationship Id="rId32" Type="http://schemas.openxmlformats.org/officeDocument/2006/relationships/hyperlink" Target="https://doi.org/10.3758/s13428-011-0124-6" TargetMode="External"/><Relationship Id="rId37" Type="http://schemas.openxmlformats.org/officeDocument/2006/relationships/hyperlink" Target="https://doi.org/10.1016/j.labeco.2009.08.002" TargetMode="External"/><Relationship Id="rId40" Type="http://schemas.openxmlformats.org/officeDocument/2006/relationships/hyperlink" Target="https://doi.org/10.1016/b978-012099980-4/50005-8"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37/a0021979" TargetMode="External"/><Relationship Id="rId23" Type="http://schemas.openxmlformats.org/officeDocument/2006/relationships/hyperlink" Target="https://doi.org/10.1111/j.1467-8624.2010.01529.x" TargetMode="External"/><Relationship Id="rId28" Type="http://schemas.openxmlformats.org/officeDocument/2006/relationships/hyperlink" Target="https://doi.org/10.1037/0012-1649.42.1.11" TargetMode="External"/><Relationship Id="rId36" Type="http://schemas.openxmlformats.org/officeDocument/2006/relationships/hyperlink" Target="https://web.stanford.edu/%7B~%7Dniederle/Niederle.Vesterlund.QJE.2007.pdf" TargetMode="External"/><Relationship Id="rId10" Type="http://schemas.openxmlformats.org/officeDocument/2006/relationships/hyperlink" Target="https://osf.io/" TargetMode="External"/><Relationship Id="rId19" Type="http://schemas.openxmlformats.org/officeDocument/2006/relationships/hyperlink" Target="https://doi.org/10.1007/s13524-012-0151-7" TargetMode="External"/><Relationship Id="rId31" Type="http://schemas.openxmlformats.org/officeDocument/2006/relationships/hyperlink" Target="https://doi.org/10.1353/sof.0.0264"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07/s40750-014-0015-z" TargetMode="External"/><Relationship Id="rId22" Type="http://schemas.openxmlformats.org/officeDocument/2006/relationships/hyperlink" Target="https://doi.org/10.1093/qje/qju009.Advance" TargetMode="External"/><Relationship Id="rId27" Type="http://schemas.openxmlformats.org/officeDocument/2006/relationships/hyperlink" Target="https://doi.org/10.1016/0362-3319(94)90015-9" TargetMode="External"/><Relationship Id="rId30" Type="http://schemas.openxmlformats.org/officeDocument/2006/relationships/hyperlink" Target="https://doi.org/10.1081/E-EWS" TargetMode="External"/><Relationship Id="rId35" Type="http://schemas.openxmlformats.org/officeDocument/2006/relationships/hyperlink" Target="http://web.stanford.edu/%7B~%7Dniederle/Gender.Niederle.pdf" TargetMode="External"/><Relationship Id="rId43" Type="http://schemas.openxmlformats.org/officeDocument/2006/relationships/hyperlink" Target="https://doi.org/10.1037/pspa000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9853</Words>
  <Characters>56167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gender differences in effort before competition</dc:title>
  <dc:creator>Keana Richards1;1University of Pennsylvania</dc:creator>
  <cp:keywords/>
  <cp:lastModifiedBy>Richards, Keana</cp:lastModifiedBy>
  <cp:revision>22</cp:revision>
  <dcterms:created xsi:type="dcterms:W3CDTF">2020-04-30T15:22:00Z</dcterms:created>
  <dcterms:modified xsi:type="dcterms:W3CDTF">2020-08-08T01:44:00Z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apa.csl</vt:lpwstr>
  </property>
  <property fmtid="{D5CDD505-2E9C-101B-9397-08002B2CF9AE}" pid="4" name="date">
    <vt:lpwstr>April 30, 2020</vt:lpwstr>
  </property>
  <property fmtid="{D5CDD505-2E9C-101B-9397-08002B2CF9AE}" pid="5" name="output">
    <vt:lpwstr/>
  </property>
  <property fmtid="{D5CDD505-2E9C-101B-9397-08002B2CF9AE}" pid="6" name="toc">
    <vt:lpwstr>yes</vt:lpwstr>
  </property>
</Properties>
</file>