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p>
    <w:p>
      <w:pPr>
        <w:pStyle w:val="Author"/>
      </w:pPr>
      <w:r>
        <w:t xml:space="preserve">Keana</w:t>
      </w:r>
      <w:r>
        <w:t xml:space="preserve"> </w:t>
      </w:r>
      <w:r>
        <w:t xml:space="preserve">Richards</w:t>
      </w:r>
    </w:p>
    <w:p>
      <w:pPr>
        <w:pStyle w:val="Date"/>
      </w:pPr>
      <w:r>
        <w:t xml:space="preserve">6/13/2020</w:t>
      </w:r>
    </w:p>
    <w:p>
      <w:pPr>
        <w:pStyle w:val="Heading1"/>
      </w:pPr>
      <w:bookmarkStart w:id="20" w:name="pilot"/>
      <w:r>
        <w:t xml:space="preserve">Pilot</w:t>
      </w:r>
      <w:bookmarkEnd w:id="20"/>
    </w:p>
    <w:p>
      <w:pPr>
        <w:pStyle w:val="Heading2"/>
      </w:pPr>
      <w:bookmarkStart w:id="21" w:name="methods"/>
      <w:r>
        <w:t xml:space="preserve">Methods</w:t>
      </w:r>
      <w:bookmarkEnd w:id="21"/>
    </w:p>
    <w:p>
      <w:pPr>
        <w:pStyle w:val="FirstParagraph"/>
      </w:pPr>
      <w:r>
        <w:t xml:space="preserve">All participants were recruited on Amazon Mechanical Turk for a study on decision-making. We excluded participants a priori if they did not meet the following inclusion criteria: failed all three comprehension check questions about the task they would be completing, were not using a computer to complete the survey (which would prohibit their performance on the task), did not identify their nationality as American or did not live in the United States (to control for gender differences in competitiveness across cultures), indicated</w:t>
      </w:r>
      <w:r>
        <w:t xml:space="preserve"> </w:t>
      </w:r>
      <w:r>
        <w:t xml:space="preserve">“</w:t>
      </w:r>
      <w:r>
        <w:t xml:space="preserve">Other</w:t>
      </w:r>
      <w:r>
        <w:t xml:space="preserve">”</w:t>
      </w:r>
      <w:r>
        <w:t xml:space="preserve"> </w:t>
      </w:r>
      <w:r>
        <w:t xml:space="preserve">for gender, or failed to finish the survey in its entirety. The final sample consisted of 320 participants (55.94% women), with an average age of 37.21 (</w:t>
      </w:r>
      <w:r>
        <w:rPr>
          <w:i/>
        </w:rPr>
        <w:t xml:space="preserve">SD</w:t>
      </w:r>
      <w:r>
        <w:t xml:space="preserve"> </w:t>
      </w:r>
      <w:r>
        <w:t xml:space="preserve">= 11.56) years.</w:t>
      </w:r>
    </w:p>
    <w:p>
      <w:pPr>
        <w:pStyle w:val="BodyText"/>
      </w:pPr>
      <w:r>
        <w:t xml:space="preserve">After passing the filter questions, participants completed three rounds of a one-minute matching task. To complete the task, they were first presented a legend with numbers and corresponding letters. Then, participants were presented a series of two-digit numbers and had to use the legend to enter the letters that corresponded to the numbers presented to them as quickly as possible. In rounds 1 and 2 of the task, participants were required to follow a piece-rate and tournament payment scheme, respectively. In round 3, participants had the option to choose between the two payment schemes, which served as the primary dependent variable. After completing the third round, participants completed a series of follow-up questions to be used for testing our secondary hypotheses and conducting exploratory analyses, including a decile-based measure of confidence (both relative to one’s randomly assigned partner in round 2 and relative to the sample of men and women, respectively, in the study) and risk aversion. We also asked about participants’ perceptions of which gender performed better. Finally, we asked about participants’ perceptions of the effects of practice, if offered, on task performance improvement, along with participants’ hypothetical willingness to practice the task beforehand, if given the opportunity (first as a yes/no, then if yes, in minutes willing to practice).</w:t>
      </w:r>
    </w:p>
    <w:p>
      <w:pPr>
        <w:pStyle w:val="Heading2"/>
      </w:pPr>
      <w:bookmarkStart w:id="22" w:name="results"/>
      <w:r>
        <w:t xml:space="preserve">Results</w:t>
      </w:r>
      <w:bookmarkEnd w:id="22"/>
    </w:p>
    <w:p>
      <w:pPr>
        <w:pStyle w:val="Heading3"/>
      </w:pPr>
      <w:bookmarkStart w:id="23" w:name="summary"/>
      <w:r>
        <w:t xml:space="preserve">Summary</w:t>
      </w:r>
      <w:bookmarkEnd w:id="23"/>
    </w:p>
    <w:p>
      <w:pPr>
        <w:pStyle w:val="FirstParagraph"/>
      </w:pPr>
      <w:r>
        <w:t xml:space="preserve">Women were more likely to say they would have taken the opportunity to practice the task than men, despite no gender differences in performance or choice to compete.</w:t>
      </w:r>
    </w:p>
    <w:p>
      <w:pPr>
        <w:pStyle w:val="Heading3"/>
      </w:pPr>
      <w:bookmarkStart w:id="24" w:name="pre-registered-analyses"/>
      <w:r>
        <w:t xml:space="preserve">Pre-registered analyses</w:t>
      </w:r>
      <w:bookmarkEnd w:id="24"/>
    </w:p>
    <w:p>
      <w:pPr>
        <w:pStyle w:val="FirstParagraph"/>
      </w:pPr>
      <w:r>
        <w:t xml:space="preserve">Primary hypothesis 1: Using a logistic regression with gender predicting willingness to compete in round 3, we do not find significant evidence of gender differences in the choice to compete,</w:t>
      </w:r>
      <w:r>
        <w:t xml:space="preserve"> </w:t>
      </w:r>
      <m:oMath>
        <m:r>
          <m:t>b</m:t>
        </m:r>
        <m:r>
          <m:t>=</m:t>
        </m:r>
        <m:r>
          <m:t>−</m:t>
        </m:r>
        <m:r>
          <m:t>0.16</m:t>
        </m:r>
      </m:oMath>
      <w:r>
        <w:t xml:space="preserve">, 95% CI</w:t>
      </w:r>
      <w:r>
        <w:t xml:space="preserve"> </w:t>
      </w:r>
      <m:oMath>
        <m:r>
          <m:t>[</m:t>
        </m:r>
        <m:r>
          <m:t>−</m:t>
        </m:r>
        <m:r>
          <m:t>0.63</m:t>
        </m:r>
      </m:oMath>
      <w:r>
        <w:t xml:space="preserve">,</w:t>
      </w:r>
      <w:r>
        <w:t xml:space="preserve"> </w:t>
      </w:r>
      <m:oMath>
        <m:r>
          <m:t>0.31</m:t>
        </m:r>
        <m:r>
          <m:t>]</m:t>
        </m:r>
      </m:oMath>
      <w:r>
        <w:t xml:space="preserve">,</w:t>
      </w:r>
      <w:r>
        <w:t xml:space="preserve"> </w:t>
      </w:r>
      <m:oMath>
        <m:r>
          <m:t>z</m:t>
        </m:r>
        <m:r>
          <m:t>=</m:t>
        </m:r>
        <m:r>
          <m:t>−</m:t>
        </m:r>
        <m:r>
          <m:t>0.68</m:t>
        </m:r>
      </m:oMath>
      <w:r>
        <w:t xml:space="preserve">,</w:t>
      </w:r>
      <w:r>
        <w:t xml:space="preserve"> </w:t>
      </w:r>
      <m:oMath>
        <m:r>
          <m:t>p</m:t>
        </m:r>
        <m:r>
          <m:t>=</m:t>
        </m:r>
        <m:r>
          <m:t>.496</m:t>
        </m:r>
      </m:oMath>
      <w:r>
        <w:t xml:space="preserve">.</w:t>
      </w:r>
    </w:p>
    <w:p>
      <w:pPr>
        <w:pStyle w:val="CaptionedFigure"/>
      </w:pPr>
      <w:r>
        <w:drawing>
          <wp:inline>
            <wp:extent cx="5334000" cy="5334000"/>
            <wp:effectExtent b="0" l="0" r="0" t="0"/>
            <wp:docPr descr="Choice to compete by gender" title="" id="1" name="Picture"/>
            <a:graphic>
              <a:graphicData uri="http://schemas.openxmlformats.org/drawingml/2006/picture">
                <pic:pic>
                  <pic:nvPicPr>
                    <pic:cNvPr descr="C:/Users/keana/OneDrive%20-%20PennO365/Comp_transfer2018/Penn/second_yr/practice_study/gender-practice/gender-practice/pilot/figs/fig00_comp-choice-by-gender-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Choice to compete by gender</w:t>
      </w:r>
    </w:p>
    <w:p>
      <w:pPr>
        <w:pStyle w:val="Heading3"/>
      </w:pPr>
      <w:bookmarkStart w:id="26" w:name="exploratory-analyses"/>
      <w:r>
        <w:t xml:space="preserve">Exploratory analyses</w:t>
      </w:r>
      <w:bookmarkEnd w:id="26"/>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w:t>
      </w:r>
    </w:p>
    <w:p>
      <w:pPr>
        <w:pStyle w:val="CaptionedFigure"/>
      </w:pPr>
      <w:r>
        <w:drawing>
          <wp:inline>
            <wp:extent cx="5334000" cy="5334000"/>
            <wp:effectExtent b="0" l="0" r="0" t="0"/>
            <wp:docPr descr="Desire to prepare by gender" title="" id="1" name="Picture"/>
            <a:graphic>
              <a:graphicData uri="http://schemas.openxmlformats.org/drawingml/2006/picture">
                <pic:pic>
                  <pic:nvPicPr>
                    <pic:cNvPr descr="C:/Users/keana/OneDrive%20-%20PennO365/Comp_transfer2018/Penn/second_yr/practice_study/gender-practice/gender-practice/pilot/figs/fig01_pract-choice-by-gender-bar.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Desire to prepare by gender</w:t>
      </w:r>
    </w:p>
    <w:p>
      <w:pPr>
        <w:pStyle w:val="Heading1"/>
      </w:pPr>
      <w:bookmarkStart w:id="28" w:name="study-1"/>
      <w:r>
        <w:t xml:space="preserve">Study 1</w:t>
      </w:r>
      <w:bookmarkEnd w:id="28"/>
    </w:p>
    <w:p>
      <w:pPr>
        <w:pStyle w:val="Heading2"/>
      </w:pPr>
      <w:bookmarkStart w:id="29" w:name="methods-1"/>
      <w:r>
        <w:t xml:space="preserve">Methods</w:t>
      </w:r>
      <w:bookmarkEnd w:id="29"/>
    </w:p>
    <w:p>
      <w:pPr>
        <w:pStyle w:val="FirstParagraph"/>
      </w:pPr>
      <w:r>
        <w:t xml:space="preserve">Like the pilot study, participants were recruited on Amazon Mechanical Turk for a study on decision-making. The exclusion criteria were nearly identical to those in the pilot study, with the exception that participants were not excluded if they failed the comprehension check questions. The final sample consisted of 1012 participants (53.66% women), with an average age of 37.66 (</w:t>
      </w:r>
      <w:r>
        <w:rPr>
          <w:i/>
        </w:rPr>
        <w:t xml:space="preserve">SD</w:t>
      </w:r>
      <w:r>
        <w:t xml:space="preserve"> </w:t>
      </w:r>
      <w:r>
        <w:t xml:space="preserve">= 13.16) years.</w:t>
      </w:r>
    </w:p>
    <w:p>
      <w:pPr>
        <w:pStyle w:val="BodyText"/>
      </w:pPr>
      <w:r>
        <w:t xml:space="preserve">Participants who met the inclusion criteria were immediately assigned to either a knowledge of preparation condition or a control condition. Men and women were equally assigned to each condition. Participants in the knowledge of preparation condition were told that they would have the chance to prepare for a multiplication task they would complete later on, while participants assigned to the control condition were not given this information. Then, all participants were given the opportunity to choose a payment scheme (either piece-rate or tournament) for the multiplication task. After choosing a payment scheme, participants in both conditions were given the chance to prepare before the multiplication task. If they took this opportunity, they had the chance to practice and review each of the times tables as many times as they wanted, or skip any. Once finished, participants completed as many problems as possible from the paid multiplication task for two minutes.</w:t>
      </w:r>
    </w:p>
    <w:p>
      <w:pPr>
        <w:pStyle w:val="BodyText"/>
      </w:pPr>
      <w:r>
        <w:t xml:space="preserve">Before finishing the survey, participants completed a series of follow-up questions, including self-reported risk aversion, confidence based on perceived decile relative to all other participants, and perceptions of gender differences in competitiveness, performance, and willingness to practice (both within the context of the study and in general). To determine whether cheating was a factor that participants relied on while completing the task, we also asked participants about their use of calculators and perceptions of calculator use on the multiplication task.</w:t>
      </w:r>
    </w:p>
    <w:p>
      <w:pPr>
        <w:pStyle w:val="Heading2"/>
      </w:pPr>
      <w:bookmarkStart w:id="30" w:name="results-1"/>
      <w:r>
        <w:t xml:space="preserve">Results</w:t>
      </w:r>
      <w:bookmarkEnd w:id="30"/>
    </w:p>
    <w:p>
      <w:pPr>
        <w:pStyle w:val="Heading3"/>
      </w:pPr>
      <w:bookmarkStart w:id="31" w:name="summary-1"/>
      <w:r>
        <w:t xml:space="preserve">Summary</w:t>
      </w:r>
      <w:bookmarkEnd w:id="31"/>
    </w:p>
    <w:p>
      <w:pPr>
        <w:pStyle w:val="FirstParagraph"/>
      </w:pPr>
      <w:r>
        <w:t xml:space="preserve">Although we did not find support for the hypothesized interaction between gender and condition on the choice to compete, we found evidence for the hypothesized effect of gender on the choice to prepare. Despite choosing to compete less frequently than men, women chose to prepare more for the multiplication task, which, as predicted, aligned with participants’ perceptions of gender differences in preparation and competition, even though participants did not expect any gender differences in performance.</w:t>
      </w:r>
    </w:p>
    <w:p>
      <w:pPr>
        <w:pStyle w:val="Heading3"/>
      </w:pPr>
      <w:bookmarkStart w:id="32" w:name="pre-registered-analyses-1"/>
      <w:r>
        <w:t xml:space="preserve">Pre-registered analyses</w:t>
      </w:r>
      <w:bookmarkEnd w:id="32"/>
    </w:p>
    <w:p>
      <w:pPr>
        <w:pStyle w:val="FirstParagraph"/>
      </w:pPr>
      <w:r>
        <w:t xml:space="preserve">Primary hypothesis 1: We do not find evidence of a significant interaction between gender and condition on the decision to compete</w:t>
      </w:r>
      <w:r>
        <w:t xml:space="preserve"> </w:t>
      </w:r>
      <m:oMath>
        <m:r>
          <m:t>b</m:t>
        </m:r>
        <m:r>
          <m:t>=</m:t>
        </m:r>
        <m:r>
          <m:t>0.12</m:t>
        </m:r>
      </m:oMath>
      <w:r>
        <w:t xml:space="preserve">, 95% CI</w:t>
      </w:r>
      <w:r>
        <w:t xml:space="preserve"> </w:t>
      </w:r>
      <m:oMath>
        <m:r>
          <m:t>[</m:t>
        </m:r>
        <m:r>
          <m:t>−</m:t>
        </m:r>
        <m:r>
          <m:t>0.57</m:t>
        </m:r>
      </m:oMath>
      <w:r>
        <w:t xml:space="preserve">,</w:t>
      </w:r>
      <w:r>
        <w:t xml:space="preserve"> </w:t>
      </w:r>
      <m:oMath>
        <m:r>
          <m:t>0.82</m:t>
        </m:r>
        <m:r>
          <m:t>]</m:t>
        </m:r>
      </m:oMath>
      <w:r>
        <w:t xml:space="preserve">,</w:t>
      </w:r>
      <w:r>
        <w:t xml:space="preserve"> </w:t>
      </w:r>
      <m:oMath>
        <m:r>
          <m:t>z</m:t>
        </m:r>
        <m:r>
          <m:t>=</m:t>
        </m:r>
        <m:r>
          <m:t>0.35</m:t>
        </m:r>
      </m:oMath>
      <w:r>
        <w:t xml:space="preserve">,</w:t>
      </w:r>
      <w:r>
        <w:t xml:space="preserve"> </w:t>
      </w:r>
      <m:oMath>
        <m:r>
          <m:t>p</m:t>
        </m:r>
        <m:r>
          <m:t>=</m:t>
        </m:r>
        <m:r>
          <m:t>.727</m:t>
        </m:r>
      </m:oMath>
      <w:r>
        <w:t xml:space="preserve">.</w:t>
      </w:r>
    </w:p>
    <w:p>
      <w:pPr>
        <w:pStyle w:val="CaptionedFigure"/>
      </w:pPr>
      <w:r>
        <w:drawing>
          <wp:inline>
            <wp:extent cx="5334000" cy="5334000"/>
            <wp:effectExtent b="0" l="0" r="0" t="0"/>
            <wp:docPr descr="Choice to compete by gender and condition" title="" id="1" name="Picture"/>
            <a:graphic>
              <a:graphicData uri="http://schemas.openxmlformats.org/drawingml/2006/picture">
                <pic:pic>
                  <pic:nvPicPr>
                    <pic:cNvPr descr="C:/Users/keana/OneDrive%20-%20PennO365/Comp_transfer2018/Penn/second_yr/practice_study/gender-practice/gender-practice/study1/figs/fig00_comp-choice-by-gender-and-cond-bar.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Choice to compete by gender and condition</w:t>
      </w:r>
    </w:p>
    <w:p>
      <w:pPr>
        <w:pStyle w:val="BodyText"/>
      </w:pPr>
      <w:r>
        <w:t xml:space="preserve">Primary hypothesis 2: Women are 77.93% more likely to take advantage of the opportunity to prepare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while controlling for the decision to compete. Note: there is no significant interaction between gender and the choice to compete on the choice to prepare.</w:t>
      </w:r>
    </w:p>
    <w:p>
      <w:pPr>
        <w:pStyle w:val="CaptionedFigure"/>
      </w:pPr>
      <w:r>
        <w:drawing>
          <wp:inline>
            <wp:extent cx="5334000" cy="5334000"/>
            <wp:effectExtent b="0" l="0" r="0" t="0"/>
            <wp:docPr descr="Choice to practice by gender and choice to compete" title="" id="1" name="Picture"/>
            <a:graphic>
              <a:graphicData uri="http://schemas.openxmlformats.org/drawingml/2006/picture">
                <pic:pic>
                  <pic:nvPicPr>
                    <pic:cNvPr descr="C:/Users/keana/OneDrive%20-%20PennO365/Comp_transfer2018/Penn/second_yr/practice_study/gender-practice/gender-practice/study1/figs/fig01_pract-choice-by-gender-and-comp-choice-bar.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Choice to practice by gender and choice to compete</w:t>
      </w:r>
    </w:p>
    <w:p>
      <w:pPr>
        <w:pStyle w:val="BodyText"/>
      </w:pPr>
      <w:r>
        <w:t xml:space="preserve">Primary hypothesis 3: Women completed 81.93% more rounds of preparation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Total practice count by gender" title="" id="1" name="Picture"/>
            <a:graphic>
              <a:graphicData uri="http://schemas.openxmlformats.org/drawingml/2006/picture">
                <pic:pic>
                  <pic:nvPicPr>
                    <pic:cNvPr descr="C:/Users/keana/OneDrive%20-%20PennO365/Comp_transfer2018/Penn/second_yr/practice_study/gender-practice/gender-practice/study1/figs/fig02_total-rev-count-by-gender.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Total practice count by gender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1012</m:t>
        </m:r>
        <m:r>
          <m:t>)</m:t>
        </m:r>
        <m:r>
          <m:t>=</m:t>
        </m:r>
        <m:r>
          <m:t>16.50</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Perceptions of gender differences in practice on the task" title="" id="1" name="Picture"/>
            <a:graphic>
              <a:graphicData uri="http://schemas.openxmlformats.org/drawingml/2006/picture">
                <pic:pic>
                  <pic:nvPicPr>
                    <pic:cNvPr descr="C:/Users/keana/OneDrive%20-%20PennO365/Comp_transfer2018/Penn/second_yr/practice_study/gender-practice/gender-practice/study1/figs/fig03_perc-task-gender-pract.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gender differences in practice on the task</w:t>
      </w:r>
    </w:p>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1012</m:t>
        </m:r>
        <m:r>
          <m:t>)</m:t>
        </m:r>
        <m:r>
          <m:t>=</m:t>
        </m:r>
        <m:r>
          <m:t>1.01</m:t>
        </m:r>
      </m:oMath>
      <w:r>
        <w:t xml:space="preserve">,</w:t>
      </w:r>
      <w:r>
        <w:t xml:space="preserve"> </w:t>
      </w:r>
      <m:oMath>
        <m:r>
          <m:t>p</m:t>
        </m:r>
        <m:r>
          <m:t>=</m:t>
        </m:r>
        <m:r>
          <m:t>.314</m:t>
        </m:r>
      </m:oMath>
      <w:r>
        <w:t xml:space="preserve">.</w:t>
      </w:r>
    </w:p>
    <w:p>
      <w:pPr>
        <w:pStyle w:val="CaptionedFigure"/>
      </w:pPr>
      <w:r>
        <w:drawing>
          <wp:inline>
            <wp:extent cx="5334000" cy="5334000"/>
            <wp:effectExtent b="0" l="0" r="0" t="0"/>
            <wp:docPr descr="Perceptions of gender differences in performance on the task" title="" id="1" name="Picture"/>
            <a:graphic>
              <a:graphicData uri="http://schemas.openxmlformats.org/drawingml/2006/picture">
                <pic:pic>
                  <pic:nvPicPr>
                    <pic:cNvPr descr="C:/Users/keana/OneDrive%20-%20PennO365/Comp_transfer2018/Penn/second_yr/practice_study/gender-practice/gender-practice/study1/figs/fig04_better-gender-guess.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gender differences in performance on the task</w:t>
      </w:r>
    </w:p>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1012</m:t>
        </m:r>
        <m:r>
          <m:t>)</m:t>
        </m:r>
        <m:r>
          <m:t>=</m:t>
        </m:r>
        <m:r>
          <m:t>720.67</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Perceptions of gender differences in choice to compete" title="" id="1" name="Picture"/>
            <a:graphic>
              <a:graphicData uri="http://schemas.openxmlformats.org/drawingml/2006/picture">
                <pic:pic>
                  <pic:nvPicPr>
                    <pic:cNvPr descr="C:/Users/keana/OneDrive%20-%20PennO365/Comp_transfer2018/Penn/second_yr/practice_study/gender-practice/gender-practice/study1/figs/fig05_perc-gender-comp.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gender differences in choice to compete</w:t>
      </w:r>
    </w:p>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1012</m:t>
        </m:r>
        <m:r>
          <m:t>)</m:t>
        </m:r>
        <m:r>
          <m:t>=</m:t>
        </m:r>
        <m:r>
          <m:t>627.34</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Perceptions of general gender differences in choice to practice" title="" id="1" name="Picture"/>
            <a:graphic>
              <a:graphicData uri="http://schemas.openxmlformats.org/drawingml/2006/picture">
                <pic:pic>
                  <pic:nvPicPr>
                    <pic:cNvPr descr="C:/Users/keana/OneDrive%20-%20PennO365/Comp_transfer2018/Penn/second_yr/practice_study/gender-practice/gender-practice/study1/figs/fig06_perc-gen-gender-pract.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general gender differences in choice to practice</w:t>
      </w:r>
    </w:p>
    <w:p>
      <w:pPr>
        <w:pStyle w:val="Heading1"/>
      </w:pPr>
      <w:bookmarkStart w:id="40" w:name="study-2"/>
      <w:r>
        <w:t xml:space="preserve">Study 2</w:t>
      </w:r>
      <w:bookmarkEnd w:id="40"/>
    </w:p>
    <w:p>
      <w:pPr>
        <w:pStyle w:val="Heading2"/>
      </w:pPr>
      <w:bookmarkStart w:id="41" w:name="methods-2"/>
      <w:r>
        <w:t xml:space="preserve">Methods</w:t>
      </w:r>
      <w:bookmarkEnd w:id="41"/>
    </w:p>
    <w:p>
      <w:pPr>
        <w:pStyle w:val="FirstParagraph"/>
      </w:pPr>
      <w:r>
        <w:t xml:space="preserve">Participants, recruited through Amazon Mechanical Turk, were included based on the same criteria as in Study 1. The final sample consisted of 1026 participants (50.58% women), with an average age of 38.54 (</w:t>
      </w:r>
      <w:r>
        <w:rPr>
          <w:i/>
        </w:rPr>
        <w:t xml:space="preserve">SD</w:t>
      </w:r>
      <w:r>
        <w:t xml:space="preserve"> </w:t>
      </w:r>
      <w:r>
        <w:t xml:space="preserve">= 12.5) years.</w:t>
      </w:r>
    </w:p>
    <w:p>
      <w:pPr>
        <w:pStyle w:val="BodyText"/>
      </w:pPr>
      <w:r>
        <w:t xml:space="preserve">After being told about rules for the multiplication task and completing comprehension check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men and women were assigned equally to each condition. The participants in the preparation condition completed 12 rounds (one round per times table), with 6 problems per round. For the counting task in the control condition, participants were asked to complete 5 questions where they counted the number of zeros in a matrix of zeros and ones. Afterwards, participants chose a payment scheme for the multiplication task, and completed the task for two minutes. We included many of the same follow-up questions as in Study 1, including risk aversion, confidence,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w:t>
      </w:r>
    </w:p>
    <w:p>
      <w:pPr>
        <w:pStyle w:val="Heading2"/>
      </w:pPr>
      <w:bookmarkStart w:id="42" w:name="results-2"/>
      <w:r>
        <w:t xml:space="preserve">Results</w:t>
      </w:r>
      <w:bookmarkEnd w:id="42"/>
    </w:p>
    <w:p>
      <w:pPr>
        <w:pStyle w:val="Heading3"/>
      </w:pPr>
      <w:bookmarkStart w:id="43" w:name="summary-2"/>
      <w:r>
        <w:t xml:space="preserve">Summary</w:t>
      </w:r>
      <w:bookmarkEnd w:id="43"/>
    </w:p>
    <w:p>
      <w:pPr>
        <w:pStyle w:val="FirstParagraph"/>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w:t>
      </w:r>
    </w:p>
    <w:p>
      <w:pPr>
        <w:pStyle w:val="Heading3"/>
      </w:pPr>
      <w:bookmarkStart w:id="44" w:name="pre-registered-analyses-2"/>
      <w:r>
        <w:t xml:space="preserve">Pre-registered analyses</w:t>
      </w:r>
      <w:bookmarkEnd w:id="44"/>
    </w:p>
    <w:p>
      <w:pPr>
        <w:pStyle w:val="FirstParagraph"/>
      </w:pPr>
      <w:r>
        <w:t xml:space="preserve">Primary hypothesis 1: We do not find evidence of a significant effect of condition on the choice to compete among women z = -0.87, p = 0.19.</w:t>
      </w:r>
    </w:p>
    <w:p>
      <w:pPr>
        <w:pStyle w:val="CaptionedFigure"/>
      </w:pPr>
      <w:r>
        <w:drawing>
          <wp:inline>
            <wp:extent cx="5334000" cy="5334000"/>
            <wp:effectExtent b="0" l="0" r="0" t="0"/>
            <wp:docPr descr="Choice to compete by condition within women" title="" id="1" name="Picture"/>
            <a:graphic>
              <a:graphicData uri="http://schemas.openxmlformats.org/drawingml/2006/picture">
                <pic:pic>
                  <pic:nvPicPr>
                    <pic:cNvPr descr="C:/Users/keana/OneDrive%20-%20PennO365/Comp_transfer2018/Penn/second_yr/practice_study/gender-practice/gender-practice/study2/figs/fig00_comp-choice-women-by-cond.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Choice to compete by condition within women</w:t>
      </w:r>
    </w:p>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1026</m:t>
        </m:r>
        <m:r>
          <m:t>)</m:t>
        </m:r>
        <m:r>
          <m:t>=</m:t>
        </m:r>
        <m:r>
          <m:t>0.56</m:t>
        </m:r>
      </m:oMath>
      <w:r>
        <w:t xml:space="preserve">,</w:t>
      </w:r>
      <w:r>
        <w:t xml:space="preserve"> </w:t>
      </w:r>
      <m:oMath>
        <m:r>
          <m:t>p</m:t>
        </m:r>
        <m:r>
          <m:t>=</m:t>
        </m:r>
        <m:r>
          <m:t>.454</m:t>
        </m:r>
      </m:oMath>
      <w:r>
        <w:t xml:space="preserve">.</w:t>
      </w:r>
    </w:p>
    <w:p>
      <w:pPr>
        <w:pStyle w:val="CaptionedFigure"/>
      </w:pPr>
      <w:r>
        <w:drawing>
          <wp:inline>
            <wp:extent cx="5334000" cy="5334000"/>
            <wp:effectExtent b="0" l="0" r="0" t="0"/>
            <wp:docPr descr="Perceptions of gender differences in performance on the task" title="" id="1" name="Picture"/>
            <a:graphic>
              <a:graphicData uri="http://schemas.openxmlformats.org/drawingml/2006/picture">
                <pic:pic>
                  <pic:nvPicPr>
                    <pic:cNvPr descr="C:/Users/keana/OneDrive%20-%20PennO365/Comp_transfer2018/Penn/second_yr/practice_study/gender-practice/gender-practice/study2/figs/fig01_better-gender-guess.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gender differences in performance on the task</w:t>
      </w:r>
    </w:p>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1026</m:t>
        </m:r>
        <m:r>
          <m:t>)</m:t>
        </m:r>
        <m:r>
          <m:t>=</m:t>
        </m:r>
        <m:r>
          <m:t>577.88</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Perceptions of gender differences in choice to compete" title="" id="1" name="Picture"/>
            <a:graphic>
              <a:graphicData uri="http://schemas.openxmlformats.org/drawingml/2006/picture">
                <pic:pic>
                  <pic:nvPicPr>
                    <pic:cNvPr descr="C:/Users/keana/OneDrive%20-%20PennO365/Comp_transfer2018/Penn/second_yr/practice_study/gender-practice/gender-practice/study2/figs/fig02_perc-gender-comp.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gender differences in choice to compete</w:t>
      </w:r>
    </w:p>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1026</m:t>
        </m:r>
        <m:r>
          <m:t>)</m:t>
        </m:r>
        <m:r>
          <m:t>=</m:t>
        </m:r>
        <m:r>
          <m:t>513.72</m:t>
        </m:r>
      </m:oMath>
      <w:r>
        <w:t xml:space="preserve">,</w:t>
      </w:r>
      <w:r>
        <w:t xml:space="preserve"> </w:t>
      </w:r>
      <m:oMath>
        <m:r>
          <m:t>p</m:t>
        </m:r>
        <m:r>
          <m:t>&lt;</m:t>
        </m:r>
        <m:r>
          <m:t>.001</m:t>
        </m:r>
      </m:oMath>
      <w:r>
        <w:t xml:space="preserve">.</w:t>
      </w:r>
    </w:p>
    <w:p>
      <w:pPr>
        <w:pStyle w:val="CaptionedFigure"/>
      </w:pPr>
      <w:r>
        <w:drawing>
          <wp:inline>
            <wp:extent cx="5334000" cy="5334000"/>
            <wp:effectExtent b="0" l="0" r="0" t="0"/>
            <wp:docPr descr="Perceptions of general gender differences in choice to practice" title="" id="1" name="Picture"/>
            <a:graphic>
              <a:graphicData uri="http://schemas.openxmlformats.org/drawingml/2006/picture">
                <pic:pic>
                  <pic:nvPicPr>
                    <pic:cNvPr descr="C:/Users/keana/OneDrive%20-%20PennO365/Comp_transfer2018/Penn/second_yr/practice_study/gender-practice/gender-practice/study2/figs/fig03_perc-gen-gender-pract.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Perceptions of general gender differences in choice to practice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c:title>
  <dc:creator>Keana Richards</dc:creator>
  <cp:keywords/>
  <dcterms:created xsi:type="dcterms:W3CDTF">2020-06-13T21:55:02Z</dcterms:created>
  <dcterms:modified xsi:type="dcterms:W3CDTF">2020-06-13T21:55:02Z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6/13/2020</vt:lpwstr>
  </property>
  <property fmtid="{D5CDD505-2E9C-101B-9397-08002B2CF9AE}" pid="3" name="output">
    <vt:lpwstr>word_document</vt:lpwstr>
  </property>
</Properties>
</file>