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p>
    <w:p>
      <w:pPr>
        <w:pStyle w:val="Author"/>
      </w:pPr>
      <w:r>
        <w:t xml:space="preserve">Keana</w:t>
      </w:r>
      <w:r>
        <w:t xml:space="preserve"> </w:t>
      </w:r>
      <w:r>
        <w:t xml:space="preserve">Richards</w:t>
      </w:r>
    </w:p>
    <w:p>
      <w:pPr>
        <w:pStyle w:val="Date"/>
      </w:pPr>
      <w:r>
        <w:t xml:space="preserve">6/12/2020</w:t>
      </w:r>
    </w:p>
    <w:p>
      <w:pPr>
        <w:pStyle w:val="Heading2"/>
      </w:pPr>
      <w:bookmarkStart w:id="20" w:name="methods"/>
      <w:r>
        <w:t xml:space="preserve">Methods</w:t>
      </w:r>
      <w:bookmarkEnd w:id="20"/>
    </w:p>
    <w:p>
      <w:pPr>
        <w:pStyle w:val="FirstParagraph"/>
      </w:pPr>
      <w:r>
        <w:t xml:space="preserve">Like the pilot study, we recruited workers on Amazon Mechanical Turk for a study on decision-making and performance. The pre-screening criteria were nearly identical to those in the pilot study, with the exception that workers were not excluded if they failed the comprehension questions to increase power. The final sample consisted of 1056 participants (53.6% women), with an average age of 37.74 (</w:t>
      </w:r>
      <w:r>
        <w:rPr>
          <w:i/>
        </w:rPr>
        <w:t xml:space="preserve">SD</w:t>
      </w:r>
      <w:r>
        <w:t xml:space="preserve"> </w:t>
      </w:r>
      <w:r>
        <w:t xml:space="preserve">= 13.19) years.</w:t>
      </w:r>
    </w:p>
    <w:p>
      <w:pPr>
        <w:pStyle w:val="BodyText"/>
      </w:pPr>
      <w:r>
        <w:t xml:space="preserve">Participants were told they would be completing a two-minute multiplication task where they would be able to choose how they would be paid for their performance. For the task, participants answered questions from the multiplication tables with numbers ranging from 1-12 (e.g., 1 X 5, 12 X 11) as quickly as possible. Then, they were provided examples and had to complete three comprehension questions, which they had to pass to proceed.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based on their gender. Participants in the knowledge of preparation 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learned about the possible payment schemes that they could choose (either piece-rate or tournament) and had to pass several comprehension questions about the payment schemes before being choosing a payment scheme. For the tournament scheme, participants were paid $.20 per problem they answered correctly only if they beat a randomly assigned partner, while the piece-rate scheme paid participants $.10 per problem, regardless of other participants’ performance. In the preparation condition, participants were reminded that they had the option to prepare before completing the task, while participants in the control condition did not have this reminder. Then, participants made a payment scheme choice, where the order of presentation of the tournament and piece-rate payment options was randomized and counter-balanced for each condition. After choosing a payment scheme, participants in both conditions were given the chance to prepare before the multiplication task. If they chose to practice (described as the choice/decision to practice in subsequent analyses), participants were asked, for each multiplication table, if they wanted to practice problems from that specific multiplication table. If they chose to practice a specific multiplication table, they had the chance to practice all twelve combinations of numbers for that multiplication table. They could only proceed if they answered all practice questions correctly. Then, they were asked if they would like to continue practicing or move onto the next multiplication table, while a review table was displayed. This process was repeated for each multiplication table. The practice and review table for each multiplication table was presented in sequential order (i.e., starting at the 1 multiplication table up to the 12 multiplication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 Once finished practicing, participants completed as many problems as possible from the paid multiplication task for two minutes and received feedback about their absolute (but not relative) performance.</w:t>
      </w:r>
    </w:p>
    <w:p>
      <w:pPr>
        <w:pStyle w:val="BodyText"/>
      </w:pPr>
      <w:r>
        <w:t xml:space="preserve">Before finishing the survey, participants completed a series of incentivized follow-up questions, including confidence and perceptions of gender differences. For these measures, participants were told one of these measures would be selected for a possible bonus payment, and if they answered the selected question correctly, they would earn a bonus of $.10. For the measure of confidence, participants guessed their relative performance compared to all other participants that completed the task by indicating the decile of their score. Participants were also asked to indicate their perceptions of gender differences in performance (i.e.,</w:t>
      </w:r>
      <w:r>
        <w:t xml:space="preserve"> </w:t>
      </w:r>
      <w:r>
        <w:t xml:space="preserve">“</w:t>
      </w:r>
      <w:r>
        <w:t xml:space="preserve">Do you think men or women in this study correctly solved more multiplication problems on average?</w:t>
      </w:r>
      <w:r>
        <w:t xml:space="preserve">”</w:t>
      </w:r>
      <w:r>
        <w:t xml:space="preserve">), willingness to prepare on the task (i.e.,</w:t>
      </w:r>
      <w:r>
        <w:t xml:space="preserve"> </w:t>
      </w:r>
      <w:r>
        <w:t xml:space="preserve">“</w:t>
      </w:r>
      <w:r>
        <w:t xml:space="preserve">Do you think men or women in this study spent more time practicing/studying before completing the multiplication task?</w:t>
      </w:r>
      <w:r>
        <w:t xml:space="preserve">”</w:t>
      </w:r>
      <w:r>
        <w:t xml:space="preserve">), willingness to prepare in general (i.e.,</w:t>
      </w:r>
      <w:r>
        <w:t xml:space="preserve"> </w:t>
      </w:r>
      <w:r>
        <w:t xml:space="preserve">“</w:t>
      </w:r>
      <w:r>
        <w:t xml:space="preserve">On most tasks, do you think men or women generally prepare (i.e., practice and/or study) more?</w:t>
      </w:r>
      <w:r>
        <w:t xml:space="preserve">”</w:t>
      </w:r>
      <w:r>
        <w:t xml:space="preserve">) and willingness to compete (i.e.,</w:t>
      </w:r>
      <w:r>
        <w:t xml:space="preserve"> </w:t>
      </w:r>
      <w:r>
        <w:t xml:space="preserve">“</w:t>
      </w:r>
      <w:r>
        <w:t xml:space="preserve">Do you think men or women in this study chose the tournament payment option more often?</w:t>
      </w:r>
      <w:r>
        <w:t xml:space="preserve">”</w:t>
      </w:r>
      <w:r>
        <w:t xml:space="preserve">). They also completed the same measure of risk aversion used in the pilot study. To determine whether cheating was a factor that participants relied on while completing the task, we also asked participants about their use of calculators and perceptions of calculator use on the multiplication task.</w:t>
      </w:r>
    </w:p>
    <w:p>
      <w:pPr>
        <w:pStyle w:val="Heading2"/>
      </w:pPr>
      <w:bookmarkStart w:id="21" w:name="results"/>
      <w:r>
        <w:t xml:space="preserve">Results</w:t>
      </w:r>
      <w:bookmarkEnd w:id="21"/>
    </w:p>
    <w:p>
      <w:pPr>
        <w:pStyle w:val="Heading3"/>
      </w:pPr>
      <w:bookmarkStart w:id="22" w:name="summary"/>
      <w:r>
        <w:t xml:space="preserve">Summary</w:t>
      </w:r>
      <w:bookmarkEnd w:id="22"/>
    </w:p>
    <w:p>
      <w:pPr>
        <w:pStyle w:val="FirstParagraph"/>
      </w:pPr>
      <w:r>
        <w:t xml:space="preserve">All hypotheses were</w:t>
      </w:r>
      <w:r>
        <w:t xml:space="preserve"> </w:t>
      </w:r>
      <w:hyperlink r:id="rId23">
        <w:r>
          <w:rPr>
            <w:rStyle w:val="Hyperlink"/>
          </w:rPr>
          <w:t xml:space="preserve">pre-registered</w:t>
        </w:r>
      </w:hyperlink>
      <w:r>
        <w:t xml:space="preserve"> </w:t>
      </w:r>
      <w:r>
        <w:t xml:space="preserve">unless otherwise stated and all analyses were conducted in R. We first examined whether gender was balanced across conditions. 49.59% of men and 49.29% of women were assigned to the control condition, while 49.8% of men and 49.12% of women were assigned to the practice condition, for a total of 49.43% of participants assigned to the control condition and 49.43% of participants assigned to the practice condition.</w:t>
      </w:r>
    </w:p>
    <w:p>
      <w:pPr>
        <w:pStyle w:val="BodyText"/>
      </w:pPr>
      <w:r>
        <w:t xml:space="preserve">Unlike the pilot study, we found that men were significantly more likely to choose to compete, where 19.59% of men chose to compete compared to 10.78% of women. However, our primary hypothesis that there would be an interaction between gender and condition on the choice to compete was not supported, nor did we find support for a main effect of condition on the choice to compete (see Figure @ref(fig:s100)).</w:t>
      </w:r>
    </w:p>
    <w:p>
      <w:pPr>
        <w:pStyle w:val="BodyText"/>
      </w:pPr>
      <w:r>
        <w:t xml:space="preserve">Although we did not find support for the hypothesized interaction, we found evidence for the hypothesized effect of gender on the choice to prepare (see Figure @ref(fig:s101)). Despite choosing to compete less frequently than men, women chose to prepare more for the multiplication task, which, as predicted, aligned with participants’ perceptions of gender differences in preparation (see Figure @ref(fig:s103)) and competition (see Figure @ref(fig:s105)), even though participants did not expect any gender differences in performance (see Figure @ref(fig:s104)).</w:t>
      </w:r>
    </w:p>
    <w:p>
      <w:pPr>
        <w:pStyle w:val="Heading3"/>
      </w:pPr>
      <w:bookmarkStart w:id="24" w:name="pre-registered-analyses"/>
      <w:r>
        <w:t xml:space="preserve">Pre-registered analyses</w:t>
      </w:r>
      <w:bookmarkEnd w:id="24"/>
    </w:p>
    <w:p>
      <w:pPr>
        <w:pStyle w:val="FirstParagraph"/>
      </w:pPr>
      <w:r>
        <w:t xml:space="preserve">Primary hypothesis 1: We do not find evidence of a significant interaction between gender and condition on the decision to compete</w:t>
      </w:r>
      <w:r>
        <w:t xml:space="preserve"> </w:t>
      </w:r>
      <m:oMath>
        <m:r>
          <m:t>b</m:t>
        </m:r>
        <m:r>
          <m:t>=</m:t>
        </m:r>
        <m:r>
          <m:t>0.06</m:t>
        </m:r>
      </m:oMath>
      <w:r>
        <w:t xml:space="preserve">, 95% CI</w:t>
      </w:r>
      <w:r>
        <w:t xml:space="preserve"> </w:t>
      </w:r>
      <m:oMath>
        <m:r>
          <m:t>[</m:t>
        </m:r>
        <m:r>
          <m:t>−</m:t>
        </m:r>
        <m:r>
          <m:t>0.63</m:t>
        </m:r>
      </m:oMath>
      <w:r>
        <w:t xml:space="preserve">,</w:t>
      </w:r>
      <w:r>
        <w:t xml:space="preserve"> </w:t>
      </w:r>
      <m:oMath>
        <m:r>
          <m:t>0.76</m:t>
        </m:r>
        <m:r>
          <m:t>]</m:t>
        </m:r>
      </m:oMath>
      <w:r>
        <w:t xml:space="preserve">,</w:t>
      </w:r>
      <w:r>
        <w:t xml:space="preserve"> </w:t>
      </w:r>
      <m:oMath>
        <m:r>
          <m:t>z</m:t>
        </m:r>
        <m:r>
          <m:t>=</m:t>
        </m:r>
        <m:r>
          <m:t>0.18</m:t>
        </m:r>
      </m:oMath>
      <w:r>
        <w:t xml:space="preserve">,</w:t>
      </w:r>
      <w:r>
        <w:t xml:space="preserve"> </w:t>
      </w:r>
      <m:oMath>
        <m:r>
          <m:t>p</m:t>
        </m:r>
        <m:r>
          <m:t>=</m:t>
        </m:r>
        <m:r>
          <m:t>.861</m:t>
        </m:r>
      </m:oMath>
      <w:r>
        <w:t xml:space="preserve"> </w:t>
      </w:r>
      <w:r>
        <w:t xml:space="preserve">(see Figure @ref(fig:s100)). However, there was a main effect of gender on the decision to compete,</w:t>
      </w:r>
      <w:r>
        <w:t xml:space="preserve"> </w:t>
      </w:r>
      <m:oMath>
        <m:r>
          <m:t>b</m:t>
        </m:r>
        <m:r>
          <m:t>=</m:t>
        </m:r>
        <m:r>
          <m:t>−</m:t>
        </m:r>
        <m:r>
          <m:t>0.73</m:t>
        </m:r>
      </m:oMath>
      <w:r>
        <w:t xml:space="preserve">, 95% CI</w:t>
      </w:r>
      <w:r>
        <w:t xml:space="preserve"> </w:t>
      </w:r>
      <m:oMath>
        <m:r>
          <m:t>[</m:t>
        </m:r>
        <m:r>
          <m:t>−</m:t>
        </m:r>
        <m:r>
          <m:t>1.23</m:t>
        </m:r>
      </m:oMath>
      <w:r>
        <w:t xml:space="preserve">,</w:t>
      </w:r>
      <w:r>
        <w:t xml:space="preserve"> </w:t>
      </w:r>
      <m:oMath>
        <m:r>
          <m:t>−</m:t>
        </m:r>
        <m:r>
          <m:t>0.24</m:t>
        </m:r>
        <m:r>
          <m:t>]</m:t>
        </m:r>
      </m:oMath>
      <w:r>
        <w:t xml:space="preserve">,</w:t>
      </w:r>
      <w:r>
        <w:t xml:space="preserve"> </w:t>
      </w:r>
      <m:oMath>
        <m:r>
          <m:t>z</m:t>
        </m:r>
        <m:r>
          <m:t>=</m:t>
        </m:r>
        <m:r>
          <m:t>−</m:t>
        </m:r>
        <m:r>
          <m:t>2.90</m:t>
        </m:r>
      </m:oMath>
      <w:r>
        <w:t xml:space="preserve">,</w:t>
      </w:r>
      <w:r>
        <w:t xml:space="preserve"> </w:t>
      </w:r>
      <m:oMath>
        <m:r>
          <m:t>p</m:t>
        </m:r>
        <m:r>
          <m:t>=</m:t>
        </m:r>
        <m:r>
          <m:t>.004</m:t>
        </m:r>
      </m:oMath>
      <w:r>
        <w:t xml:space="preserve">.</w:t>
      </w:r>
    </w:p>
    <w:p>
      <w:pPr>
        <w:pStyle w:val="CaptionedFigure"/>
      </w:pPr>
      <w:r>
        <w:drawing>
          <wp:inline>
            <wp:extent cx="5334000" cy="5334000"/>
            <wp:effectExtent b="0" l="0" r="0" t="0"/>
            <wp:docPr descr="Proportion of participants who chose to compete based on participant gender and condition. Error bars represent standard error."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chose to compete based on participant gender and condition. Error bars represent standard error.</w:t>
      </w:r>
    </w:p>
    <w:p>
      <w:pPr>
        <w:pStyle w:val="BodyText"/>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187 (49.5%)</w:t>
            </w:r>
          </w:p>
        </w:tc>
        <w:tc>
          <w:p>
            <w:pPr>
              <w:pStyle w:val="Compact"/>
              <w:jc w:val="right"/>
            </w:pPr>
            <w:r>
              <w:t xml:space="preserve">191 (50.5%)</w:t>
            </w:r>
          </w:p>
        </w:tc>
        <w:tc>
          <w:p>
            <w:pPr>
              <w:pStyle w:val="Compact"/>
              <w:jc w:val="right"/>
            </w:pPr>
            <w:r>
              <w:t xml:space="preserve">378 (100.0%)</w:t>
            </w:r>
          </w:p>
        </w:tc>
      </w:tr>
      <w:tr>
        <w:tc>
          <w:p>
            <w:pPr>
              <w:pStyle w:val="Compact"/>
              <w:jc w:val="left"/>
            </w:pPr>
            <w:r>
              <w:t xml:space="preserve">Woman</w:t>
            </w:r>
          </w:p>
        </w:tc>
        <w:tc>
          <w:p/>
        </w:tc>
        <w:tc>
          <w:p>
            <w:pPr>
              <w:pStyle w:val="Compact"/>
              <w:jc w:val="right"/>
            </w:pPr>
            <w:r>
              <w:t xml:space="preserve">243 (50.2%)</w:t>
            </w:r>
          </w:p>
        </w:tc>
        <w:tc>
          <w:p>
            <w:pPr>
              <w:pStyle w:val="Compact"/>
              <w:jc w:val="right"/>
            </w:pPr>
            <w:r>
              <w:t xml:space="preserve">241 (49.8%)</w:t>
            </w:r>
          </w:p>
        </w:tc>
        <w:tc>
          <w:p>
            <w:pPr>
              <w:pStyle w:val="Compact"/>
              <w:jc w:val="right"/>
            </w:pPr>
            <w:r>
              <w:t xml:space="preserve">484 (100.0%)</w:t>
            </w:r>
          </w:p>
        </w:tc>
      </w:tr>
      <w:tr>
        <w:tc>
          <w:p>
            <w:pPr>
              <w:pStyle w:val="Compact"/>
              <w:jc w:val="left"/>
            </w:pPr>
            <w:r>
              <w:t xml:space="preserve">Total</w:t>
            </w:r>
          </w:p>
        </w:tc>
        <w:tc>
          <w:p/>
        </w:tc>
        <w:tc>
          <w:p>
            <w:pPr>
              <w:pStyle w:val="Compact"/>
              <w:jc w:val="right"/>
            </w:pPr>
            <w:r>
              <w:t xml:space="preserve">430 (49.9%)</w:t>
            </w:r>
          </w:p>
        </w:tc>
        <w:tc>
          <w:p>
            <w:pPr>
              <w:pStyle w:val="Compact"/>
              <w:jc w:val="right"/>
            </w:pPr>
            <w:r>
              <w:t xml:space="preserve">432 (50.1%)</w:t>
            </w:r>
          </w:p>
        </w:tc>
        <w:tc>
          <w:p>
            <w:pPr>
              <w:pStyle w:val="Compact"/>
              <w:jc w:val="right"/>
            </w:pPr>
            <w:r>
              <w:t xml:space="preserve">862 (100.0%)</w:t>
            </w:r>
          </w:p>
        </w:tc>
      </w:tr>
    </w:tbl>
    <w:tbl>
      <w:tblPr>
        <w:tblStyle w:val="Table"/>
        <w:tblW w:type="pct" w:w="0.0"/>
        <w:tblLook w:firstRow="0"/>
      </w:tblPr>
      <w:tblGrid/>
      <w:tr>
        <w:tc>
          <w:p/>
        </w:tc>
        <w:tc>
          <w:p>
            <w:pPr>
              <w:pStyle w:val="Compact"/>
              <w:jc w:val="right"/>
            </w:pPr>
            <w:r>
              <w:t xml:space="preserve">2L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48 (50.0%)</w:t>
            </w:r>
          </w:p>
        </w:tc>
        <w:tc>
          <w:p>
            <w:pPr>
              <w:pStyle w:val="Compact"/>
              <w:jc w:val="right"/>
            </w:pPr>
            <w:r>
              <w:t xml:space="preserve">48 (50.0%)</w:t>
            </w:r>
          </w:p>
        </w:tc>
        <w:tc>
          <w:p>
            <w:pPr>
              <w:pStyle w:val="Compact"/>
              <w:jc w:val="right"/>
            </w:pPr>
            <w:r>
              <w:t xml:space="preserve">96 (100.0%)</w:t>
            </w:r>
          </w:p>
        </w:tc>
      </w:tr>
      <w:tr>
        <w:tc>
          <w:p>
            <w:pPr>
              <w:pStyle w:val="Compact"/>
              <w:jc w:val="left"/>
            </w:pPr>
            <w:r>
              <w:t xml:space="preserve">Woman</w:t>
            </w:r>
          </w:p>
        </w:tc>
        <w:tc>
          <w:p/>
        </w:tc>
        <w:tc>
          <w:p>
            <w:pPr>
              <w:pStyle w:val="Compact"/>
              <w:jc w:val="right"/>
            </w:pPr>
            <w:r>
              <w:t xml:space="preserve">30 (49.2%)</w:t>
            </w:r>
          </w:p>
        </w:tc>
        <w:tc>
          <w:p>
            <w:pPr>
              <w:pStyle w:val="Compact"/>
              <w:jc w:val="right"/>
            </w:pPr>
            <w:r>
              <w:t xml:space="preserve">31 (50.8%)</w:t>
            </w:r>
          </w:p>
        </w:tc>
        <w:tc>
          <w:p>
            <w:pPr>
              <w:pStyle w:val="Compact"/>
              <w:jc w:val="right"/>
            </w:pPr>
            <w:r>
              <w:t xml:space="preserve">61 (100.0%)</w:t>
            </w:r>
          </w:p>
        </w:tc>
      </w:tr>
      <w:tr>
        <w:tc>
          <w:p>
            <w:pPr>
              <w:pStyle w:val="Compact"/>
              <w:jc w:val="left"/>
            </w:pPr>
            <w:r>
              <w:t xml:space="preserve">Total</w:t>
            </w:r>
          </w:p>
        </w:tc>
        <w:tc>
          <w:p/>
        </w:tc>
        <w:tc>
          <w:p>
            <w:pPr>
              <w:pStyle w:val="Compact"/>
              <w:jc w:val="right"/>
            </w:pPr>
            <w:r>
              <w:t xml:space="preserve">78 (49.7%)</w:t>
            </w:r>
          </w:p>
        </w:tc>
        <w:tc>
          <w:p>
            <w:pPr>
              <w:pStyle w:val="Compact"/>
              <w:jc w:val="right"/>
            </w:pPr>
            <w:r>
              <w:t xml:space="preserve">79 (50.3%)</w:t>
            </w:r>
          </w:p>
        </w:tc>
        <w:tc>
          <w:p>
            <w:pPr>
              <w:pStyle w:val="Compact"/>
              <w:jc w:val="right"/>
            </w:pPr>
            <w:r>
              <w:t xml:space="preserve">157 (100.0%)</w:t>
            </w:r>
          </w:p>
        </w:tc>
      </w:tr>
    </w:tbl>
    <w:p>
      <w:pPr>
        <w:pStyle w:val="BodyText"/>
      </w:pPr>
      <w:r>
        <w:t xml:space="preserve">Primary hypothesis 2: As, hypothesized, women were 75.47% more likely to take advantage of the opportunity to practice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while controlling for the decision to compete (see Figure @ref(fig:s101)). As an exploratory analysis, we tested whether gender and the choice to compete interact to predict the choice to prepare, but did not find evidence for an interaction,</w:t>
      </w:r>
      <w:r>
        <w:t xml:space="preserve"> </w:t>
      </w:r>
      <m:oMath>
        <m:r>
          <m:t>b</m:t>
        </m:r>
        <m:r>
          <m:t>=</m:t>
        </m:r>
        <m:r>
          <m:t>0.12</m:t>
        </m:r>
      </m:oMath>
      <w:r>
        <w:t xml:space="preserve">, 95% CI</w:t>
      </w:r>
      <w:r>
        <w:t xml:space="preserve"> </w:t>
      </w:r>
      <m:oMath>
        <m:r>
          <m:t>[</m:t>
        </m:r>
        <m:r>
          <m:t>−</m:t>
        </m:r>
        <m:r>
          <m:t>0.60</m:t>
        </m:r>
      </m:oMath>
      <w:r>
        <w:t xml:space="preserve">,</w:t>
      </w:r>
      <w:r>
        <w:t xml:space="preserve"> </w:t>
      </w:r>
      <m:oMath>
        <m:r>
          <m:t>0.86</m:t>
        </m:r>
        <m:r>
          <m:t>]</m:t>
        </m:r>
      </m:oMath>
      <w:r>
        <w:t xml:space="preserve">,</w:t>
      </w:r>
      <w:r>
        <w:t xml:space="preserve"> </w:t>
      </w:r>
      <m:oMath>
        <m:r>
          <m:t>z</m:t>
        </m:r>
        <m:r>
          <m:t>=</m:t>
        </m:r>
        <m:r>
          <m:t>0.33</m:t>
        </m:r>
      </m:oMath>
      <w:r>
        <w:t xml:space="preserve">,</w:t>
      </w:r>
      <w:r>
        <w:t xml:space="preserve"> </w:t>
      </w:r>
      <m:oMath>
        <m:r>
          <m:t>p</m:t>
        </m:r>
        <m:r>
          <m:t>=</m:t>
        </m:r>
        <m:r>
          <m:t>.740</m:t>
        </m:r>
      </m:oMath>
      <w:r>
        <w:t xml:space="preserve">.</w:t>
      </w:r>
    </w:p>
    <w:p>
      <w:pPr>
        <w:pStyle w:val="CaptionedFigure"/>
      </w:pPr>
      <w:r>
        <w:drawing>
          <wp:inline>
            <wp:extent cx="5334000" cy="5334000"/>
            <wp:effectExtent b="0" l="0" r="0" t="0"/>
            <wp:docPr descr="Proportion of participants who chose to prepare based on participant gender and choice to compete. Error bars represent standard error."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chose to prepare based on participant gender and choice to compete. Error bars represent standard error.</w:t>
      </w:r>
    </w:p>
    <w:p>
      <w:pPr>
        <w:pStyle w:val="BodyText"/>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224 (83.3%)</w:t>
            </w:r>
          </w:p>
        </w:tc>
        <w:tc>
          <w:p>
            <w:pPr>
              <w:pStyle w:val="Compact"/>
              <w:jc w:val="right"/>
            </w:pPr>
            <w:r>
              <w:t xml:space="preserve">45 (16.7%)</w:t>
            </w:r>
          </w:p>
        </w:tc>
        <w:tc>
          <w:p>
            <w:pPr>
              <w:pStyle w:val="Compact"/>
              <w:jc w:val="right"/>
            </w:pPr>
            <w:r>
              <w:t xml:space="preserve">269 (100.0%)</w:t>
            </w:r>
          </w:p>
        </w:tc>
      </w:tr>
      <w:tr>
        <w:tc>
          <w:p>
            <w:pPr>
              <w:pStyle w:val="Compact"/>
              <w:jc w:val="left"/>
            </w:pPr>
            <w:r>
              <w:t xml:space="preserve">Woman</w:t>
            </w:r>
          </w:p>
        </w:tc>
        <w:tc>
          <w:p/>
        </w:tc>
        <w:tc>
          <w:p>
            <w:pPr>
              <w:pStyle w:val="Compact"/>
              <w:jc w:val="right"/>
            </w:pPr>
            <w:r>
              <w:t xml:space="preserve">221 (92.1%)</w:t>
            </w:r>
          </w:p>
        </w:tc>
        <w:tc>
          <w:p>
            <w:pPr>
              <w:pStyle w:val="Compact"/>
              <w:jc w:val="right"/>
            </w:pPr>
            <w:r>
              <w:t xml:space="preserve">19 ( 7.9%)</w:t>
            </w:r>
          </w:p>
        </w:tc>
        <w:tc>
          <w:p>
            <w:pPr>
              <w:pStyle w:val="Compact"/>
              <w:jc w:val="right"/>
            </w:pPr>
            <w:r>
              <w:t xml:space="preserve">240 (100.0%)</w:t>
            </w:r>
          </w:p>
        </w:tc>
      </w:tr>
      <w:tr>
        <w:tc>
          <w:p>
            <w:pPr>
              <w:pStyle w:val="Compact"/>
              <w:jc w:val="left"/>
            </w:pPr>
            <w:r>
              <w:t xml:space="preserve">Total</w:t>
            </w:r>
          </w:p>
        </w:tc>
        <w:tc>
          <w:p/>
        </w:tc>
        <w:tc>
          <w:p>
            <w:pPr>
              <w:pStyle w:val="Compact"/>
              <w:jc w:val="right"/>
            </w:pPr>
            <w:r>
              <w:t xml:space="preserve">445 (87.4%)</w:t>
            </w:r>
          </w:p>
        </w:tc>
        <w:tc>
          <w:p>
            <w:pPr>
              <w:pStyle w:val="Compact"/>
              <w:jc w:val="right"/>
            </w:pPr>
            <w:r>
              <w:t xml:space="preserve">64 (12.6%)</w:t>
            </w:r>
          </w:p>
        </w:tc>
        <w:tc>
          <w:p>
            <w:pPr>
              <w:pStyle w:val="Compact"/>
              <w:jc w:val="right"/>
            </w:pPr>
            <w:r>
              <w:t xml:space="preserve">509 (100.0%)</w:t>
            </w:r>
          </w:p>
        </w:tc>
      </w:tr>
    </w:tbl>
    <w:tbl>
      <w:tblPr>
        <w:tblStyle w:val="Table"/>
        <w:tblW w:type="pct" w:w="0.0"/>
        <w:tblLook w:firstRow="0"/>
      </w:tblPr>
      <w:tblGrid/>
      <w:tr>
        <w:tc>
          <w:p/>
        </w:tc>
        <w:tc>
          <w:p>
            <w:pPr>
              <w:pStyle w:val="Compact"/>
              <w:jc w:val="right"/>
            </w:pPr>
            <w:r>
              <w:t xml:space="preserve">2L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154 (75.1%)</w:t>
            </w:r>
          </w:p>
        </w:tc>
        <w:tc>
          <w:p>
            <w:pPr>
              <w:pStyle w:val="Compact"/>
              <w:jc w:val="right"/>
            </w:pPr>
            <w:r>
              <w:t xml:space="preserve">51 (24.9%)</w:t>
            </w:r>
          </w:p>
        </w:tc>
        <w:tc>
          <w:p>
            <w:pPr>
              <w:pStyle w:val="Compact"/>
              <w:jc w:val="right"/>
            </w:pPr>
            <w:r>
              <w:t xml:space="preserve">205 (100.0%)</w:t>
            </w:r>
          </w:p>
        </w:tc>
      </w:tr>
      <w:tr>
        <w:tc>
          <w:p>
            <w:pPr>
              <w:pStyle w:val="Compact"/>
              <w:jc w:val="left"/>
            </w:pPr>
            <w:r>
              <w:t xml:space="preserve">Woman</w:t>
            </w:r>
          </w:p>
        </w:tc>
        <w:tc>
          <w:p/>
        </w:tc>
        <w:tc>
          <w:p>
            <w:pPr>
              <w:pStyle w:val="Compact"/>
              <w:jc w:val="right"/>
            </w:pPr>
            <w:r>
              <w:t xml:space="preserve">262 (86.2%)</w:t>
            </w:r>
          </w:p>
        </w:tc>
        <w:tc>
          <w:p>
            <w:pPr>
              <w:pStyle w:val="Compact"/>
              <w:jc w:val="right"/>
            </w:pPr>
            <w:r>
              <w:t xml:space="preserve">42 (13.8%)</w:t>
            </w:r>
          </w:p>
        </w:tc>
        <w:tc>
          <w:p>
            <w:pPr>
              <w:pStyle w:val="Compact"/>
              <w:jc w:val="right"/>
            </w:pPr>
            <w:r>
              <w:t xml:space="preserve">304 (100.0%)</w:t>
            </w:r>
          </w:p>
        </w:tc>
      </w:tr>
      <w:tr>
        <w:tc>
          <w:p>
            <w:pPr>
              <w:pStyle w:val="Compact"/>
              <w:jc w:val="left"/>
            </w:pPr>
            <w:r>
              <w:t xml:space="preserve">Total</w:t>
            </w:r>
          </w:p>
        </w:tc>
        <w:tc>
          <w:p/>
        </w:tc>
        <w:tc>
          <w:p>
            <w:pPr>
              <w:pStyle w:val="Compact"/>
              <w:jc w:val="right"/>
            </w:pPr>
            <w:r>
              <w:t xml:space="preserve">416 (81.7%)</w:t>
            </w:r>
          </w:p>
        </w:tc>
        <w:tc>
          <w:p>
            <w:pPr>
              <w:pStyle w:val="Compact"/>
              <w:jc w:val="right"/>
            </w:pPr>
            <w:r>
              <w:t xml:space="preserve">93 (18.3%)</w:t>
            </w:r>
          </w:p>
        </w:tc>
        <w:tc>
          <w:p>
            <w:pPr>
              <w:pStyle w:val="Compact"/>
              <w:jc w:val="right"/>
            </w:pPr>
            <w:r>
              <w:t xml:space="preserve">509 (100.0%)</w:t>
            </w:r>
          </w:p>
        </w:tc>
      </w:tr>
    </w:tbl>
    <w:p>
      <w:pPr>
        <w:pStyle w:val="BodyText"/>
      </w:pPr>
      <w:r>
        <w:t xml:space="preserve">Primary hypothesis 3: Women completed 68.59% more rounds of preparation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t>
      </w:r>
      <w:r>
        <w:t xml:space="preserve">(see Figure @ref(fig:s102)).</w:t>
      </w:r>
    </w:p>
    <w:p>
      <w:pPr>
        <w:pStyle w:val="CaptionedFigure"/>
      </w:pPr>
      <w:r>
        <w:drawing>
          <wp:inline>
            <wp:extent cx="5334000" cy="5334000"/>
            <wp:effectExtent b="0" l="0" r="0" t="0"/>
            <wp:docPr descr="Average (log-transformed) practice count based on participant gender and competition choice. Error bars represent standard error." title="" id="1" name="Picture"/>
            <a:graphic>
              <a:graphicData uri="http://schemas.openxmlformats.org/drawingml/2006/picture">
                <pic:pic>
                  <pic:nvPicPr>
                    <pic:cNvPr descr="C:/Users/keana/OneDrive%20-%20PennO365/Comp_transfer2018/Penn/practice_study/gender-practice/study1/figs/fig02_total-rev-count-by-gender-comp-choice.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Average (log-transformed) practice count based on participant gender and competition choice. Error bars represent standard error.</w:t>
      </w:r>
    </w:p>
    <w:p>
      <w:pPr>
        <w:pStyle w:val="BodyText"/>
      </w:pPr>
      <w:r>
        <w:t xml:space="preserve">Primary hypothesis 4: Participants expected women to spend more time preparing for the multiplication task relative to men,</w:t>
      </w:r>
      <w:r>
        <w:t xml:space="preserve"> </w:t>
      </w:r>
      <m:oMath>
        <m:sSup>
          <m:e>
            <m:r>
              <m:t>χ</m:t>
            </m:r>
          </m:e>
          <m:sup>
            <m:r>
              <m:t>2</m:t>
            </m:r>
          </m:sup>
        </m:sSup>
        <m:r>
          <m:t>(</m:t>
        </m:r>
        <m:r>
          <m:t>1</m:t>
        </m:r>
        <m:r>
          <m:t>,</m:t>
        </m:r>
        <m:r>
          <m:t>n</m:t>
        </m:r>
        <m:r>
          <m:t>=</m:t>
        </m:r>
        <m:r>
          <m:t>1056</m:t>
        </m:r>
        <m:r>
          <m:t>)</m:t>
        </m:r>
        <m:r>
          <m:t>=</m:t>
        </m:r>
        <m:r>
          <m:t>15.67</m:t>
        </m:r>
      </m:oMath>
      <w:r>
        <w:t xml:space="preserve">,</w:t>
      </w:r>
      <w:r>
        <w:t xml:space="preserve"> </w:t>
      </w:r>
      <m:oMath>
        <m:r>
          <m:t>p</m:t>
        </m:r>
        <m:r>
          <m:t>&lt;</m:t>
        </m:r>
        <m:r>
          <m:t>.001</m:t>
        </m:r>
      </m:oMath>
      <w:r>
        <w:t xml:space="preserve"> </w:t>
      </w:r>
      <w:r>
        <w:t xml:space="preserve">(see Figure @ref(fig:s103)).</w:t>
      </w:r>
    </w:p>
    <w:p>
      <w:pPr>
        <w:pStyle w:val="CaptionedFigure"/>
      </w:pPr>
      <w:r>
        <w:drawing>
          <wp:inline>
            <wp:extent cx="5334000" cy="5334000"/>
            <wp:effectExtent b="0" l="0" r="0" t="0"/>
            <wp:docPr descr="Participants’ perceptions of gender differences in the choice to practice on the task. Error bars represent standard error."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the choice to practice on the task.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perc_task_gender_pract</w:t>
      </w:r>
    </w:p>
    <w:tbl>
      <w:tblPr>
        <w:tblStyle w:val="Table"/>
        <w:tblW w:type="pct" w:w="0.0"/>
        <w:tblLook w:firstRow="0"/>
      </w:tblPr>
      <w:tblGrid/>
      <w:tr>
        <w:tc>
          <w:p/>
        </w:tc>
        <w:tc>
          <w:p>
            <w:pPr>
              <w:pStyle w:val="Compact"/>
              <w:jc w:val="right"/>
            </w:pPr>
            <w:r>
              <w:t xml:space="preserve">clean$perc_task_gender_pract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104 (21.2%)</w:t>
            </w:r>
          </w:p>
        </w:tc>
        <w:tc>
          <w:p>
            <w:pPr>
              <w:pStyle w:val="Compact"/>
              <w:jc w:val="right"/>
            </w:pPr>
            <w:r>
              <w:t xml:space="preserve">361 (73.7%)</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63 (11.1%)</w:t>
            </w:r>
          </w:p>
        </w:tc>
        <w:tc>
          <w:p>
            <w:pPr>
              <w:pStyle w:val="Compact"/>
              <w:jc w:val="right"/>
            </w:pPr>
            <w:r>
              <w:t xml:space="preserve">476 (84.1%)</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167 (15.8%)</w:t>
            </w:r>
          </w:p>
        </w:tc>
        <w:tc>
          <w:p>
            <w:pPr>
              <w:pStyle w:val="Compact"/>
              <w:jc w:val="right"/>
            </w:pPr>
            <w:r>
              <w:t xml:space="preserve">837 (79.3%)</w:t>
            </w:r>
          </w:p>
        </w:tc>
        <w:tc>
          <w:p>
            <w:pPr>
              <w:pStyle w:val="Compact"/>
              <w:jc w:val="right"/>
            </w:pPr>
            <w:r>
              <w:t xml:space="preserve">52 (4.9%)</w:t>
            </w:r>
          </w:p>
        </w:tc>
        <w:tc>
          <w:p>
            <w:pPr>
              <w:pStyle w:val="Compact"/>
              <w:jc w:val="right"/>
            </w:pPr>
            <w:r>
              <w:t xml:space="preserve">1056 (100.0%)</w:t>
            </w:r>
          </w:p>
        </w:tc>
      </w:tr>
    </w:tbl>
    <w:p>
      <w:pPr>
        <w:pStyle w:val="BodyText"/>
      </w:pPr>
      <w:r>
        <w:t xml:space="preserve">Exploratory analysis 7a: Participants did not expect any gender differences in performance on the task,</w:t>
      </w:r>
      <w:r>
        <w:t xml:space="preserve"> </w:t>
      </w:r>
      <m:oMath>
        <m:sSup>
          <m:e>
            <m:r>
              <m:t>χ</m:t>
            </m:r>
          </m:e>
          <m:sup>
            <m:r>
              <m:t>2</m:t>
            </m:r>
          </m:sup>
        </m:sSup>
        <m:r>
          <m:t>(</m:t>
        </m:r>
        <m:r>
          <m:t>1</m:t>
        </m:r>
        <m:r>
          <m:t>,</m:t>
        </m:r>
        <m:r>
          <m:t>n</m:t>
        </m:r>
        <m:r>
          <m:t>=</m:t>
        </m:r>
        <m:r>
          <m:t>1056</m:t>
        </m:r>
        <m:r>
          <m:t>)</m:t>
        </m:r>
        <m:r>
          <m:t>=</m:t>
        </m:r>
        <m:r>
          <m:t>1.02</m:t>
        </m:r>
      </m:oMath>
      <w:r>
        <w:t xml:space="preserve">,</w:t>
      </w:r>
      <w:r>
        <w:t xml:space="preserve"> </w:t>
      </w:r>
      <m:oMath>
        <m:r>
          <m:t>p</m:t>
        </m:r>
        <m:r>
          <m:t>=</m:t>
        </m:r>
        <m:r>
          <m:t>.313</m:t>
        </m:r>
      </m:oMath>
      <w:r>
        <w:t xml:space="preserve"> </w:t>
      </w:r>
      <w:r>
        <w:t xml:space="preserve">(see Figure @ref(fig:s104)).</w:t>
      </w:r>
    </w:p>
    <w:p>
      <w:pPr>
        <w:pStyle w:val="CaptionedFigure"/>
      </w:pPr>
      <w:r>
        <w:drawing>
          <wp:inline>
            <wp:extent cx="5334000" cy="5334000"/>
            <wp:effectExtent b="0" l="0" r="0" t="0"/>
            <wp:docPr descr="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performance on the task.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265 (54.1%)</w:t>
            </w:r>
          </w:p>
        </w:tc>
        <w:tc>
          <w:p>
            <w:pPr>
              <w:pStyle w:val="Compact"/>
              <w:jc w:val="right"/>
            </w:pPr>
            <w:r>
              <w:t xml:space="preserve">200 (40.8%)</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253 (44.7%)</w:t>
            </w:r>
          </w:p>
        </w:tc>
        <w:tc>
          <w:p>
            <w:pPr>
              <w:pStyle w:val="Compact"/>
              <w:jc w:val="right"/>
            </w:pPr>
            <w:r>
              <w:t xml:space="preserve">286 (50.5%)</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518 (49.1%)</w:t>
            </w:r>
          </w:p>
        </w:tc>
        <w:tc>
          <w:p>
            <w:pPr>
              <w:pStyle w:val="Compact"/>
              <w:jc w:val="right"/>
            </w:pPr>
            <w:r>
              <w:t xml:space="preserve">486 (46.0%)</w:t>
            </w:r>
          </w:p>
        </w:tc>
        <w:tc>
          <w:p>
            <w:pPr>
              <w:pStyle w:val="Compact"/>
              <w:jc w:val="right"/>
            </w:pPr>
            <w:r>
              <w:t xml:space="preserve">52 (4.9%)</w:t>
            </w:r>
          </w:p>
        </w:tc>
        <w:tc>
          <w:p>
            <w:pPr>
              <w:pStyle w:val="Compact"/>
              <w:jc w:val="right"/>
            </w:pPr>
            <w:r>
              <w:t xml:space="preserve">1056 (100.0%)</w:t>
            </w:r>
          </w:p>
        </w:tc>
      </w:tr>
    </w:tbl>
    <w:p>
      <w:pPr>
        <w:pStyle w:val="BodyText"/>
      </w:pPr>
      <w:r>
        <w:t xml:space="preserve">Exploratory analysis 7b: Participants were significantly more likely to expect men to choose to compete more often,</w:t>
      </w:r>
      <w:r>
        <w:t xml:space="preserve"> </w:t>
      </w:r>
      <m:oMath>
        <m:sSup>
          <m:e>
            <m:r>
              <m:t>χ</m:t>
            </m:r>
          </m:e>
          <m:sup>
            <m:r>
              <m:t>2</m:t>
            </m:r>
          </m:sup>
        </m:sSup>
        <m:r>
          <m:t>(</m:t>
        </m:r>
        <m:r>
          <m:t>1</m:t>
        </m:r>
        <m:r>
          <m:t>,</m:t>
        </m:r>
        <m:r>
          <m:t>n</m:t>
        </m:r>
        <m:r>
          <m:t>=</m:t>
        </m:r>
        <m:r>
          <m:t>1056</m:t>
        </m:r>
        <m:r>
          <m:t>)</m:t>
        </m:r>
        <m:r>
          <m:t>=</m:t>
        </m:r>
        <m:r>
          <m:t>716.24</m:t>
        </m:r>
      </m:oMath>
      <w:r>
        <w:t xml:space="preserve">,</w:t>
      </w:r>
      <w:r>
        <w:t xml:space="preserve"> </w:t>
      </w:r>
      <m:oMath>
        <m:r>
          <m:t>p</m:t>
        </m:r>
        <m:r>
          <m:t>&lt;</m:t>
        </m:r>
        <m:r>
          <m:t>.001</m:t>
        </m:r>
      </m:oMath>
      <w:r>
        <w:t xml:space="preserve"> </w:t>
      </w:r>
      <w:r>
        <w:t xml:space="preserve">(see Figure @ref(fig:s105)).</w:t>
      </w:r>
    </w:p>
    <w:p>
      <w:pPr>
        <w:pStyle w:val="CaptionedFigure"/>
      </w:pPr>
      <w:r>
        <w:drawing>
          <wp:inline>
            <wp:extent cx="5334000" cy="5334000"/>
            <wp:effectExtent b="0" l="0" r="0" t="0"/>
            <wp:docPr descr="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choice to compete.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434 (88.6%)</w:t>
            </w:r>
          </w:p>
        </w:tc>
        <w:tc>
          <w:p>
            <w:pPr>
              <w:pStyle w:val="Compact"/>
              <w:jc w:val="right"/>
            </w:pPr>
            <w:r>
              <w:t xml:space="preserve">31 (6.3%)</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492 (86.9%)</w:t>
            </w:r>
          </w:p>
        </w:tc>
        <w:tc>
          <w:p>
            <w:pPr>
              <w:pStyle w:val="Compact"/>
              <w:jc w:val="right"/>
            </w:pPr>
            <w:r>
              <w:t xml:space="preserve">47 (8.3%)</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926 (87.7%)</w:t>
            </w:r>
          </w:p>
        </w:tc>
        <w:tc>
          <w:p>
            <w:pPr>
              <w:pStyle w:val="Compact"/>
              <w:jc w:val="right"/>
            </w:pPr>
            <w:r>
              <w:t xml:space="preserve">78 (7.4%)</w:t>
            </w:r>
          </w:p>
        </w:tc>
        <w:tc>
          <w:p>
            <w:pPr>
              <w:pStyle w:val="Compact"/>
              <w:jc w:val="right"/>
            </w:pPr>
            <w:r>
              <w:t xml:space="preserve">52 (4.9%)</w:t>
            </w:r>
          </w:p>
        </w:tc>
        <w:tc>
          <w:p>
            <w:pPr>
              <w:pStyle w:val="Compact"/>
              <w:jc w:val="right"/>
            </w:pPr>
            <w:r>
              <w:t xml:space="preserve">1056 (100.0%)</w:t>
            </w:r>
          </w:p>
        </w:tc>
      </w:tr>
    </w:tbl>
    <w:p>
      <w:pPr>
        <w:pStyle w:val="BodyText"/>
      </w:pPr>
      <w:r>
        <w:t xml:space="preserve">Exploratory analysis 7c: Participants were significantly more likely to expect women to choose to prepare in general,</w:t>
      </w:r>
      <w:r>
        <w:t xml:space="preserve">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 </w:t>
      </w:r>
      <w:r>
        <w:t xml:space="preserve">(see Figure @ref(fig:s106)).</w:t>
      </w:r>
    </w:p>
    <w:p>
      <w:pPr>
        <w:pStyle w:val="CaptionedFigure"/>
      </w:pPr>
      <w:r>
        <w:drawing>
          <wp:inline>
            <wp:extent cx="5334000" cy="5334000"/>
            <wp:effectExtent b="0" l="0" r="0" t="0"/>
            <wp:docPr descr="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general gender differences in choice to practice.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64 (13.1%)</w:t>
            </w:r>
          </w:p>
        </w:tc>
        <w:tc>
          <w:p>
            <w:pPr>
              <w:pStyle w:val="Compact"/>
              <w:jc w:val="right"/>
            </w:pPr>
            <w:r>
              <w:t xml:space="preserve">401 (81.8%)</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41 ( 7.2%)</w:t>
            </w:r>
          </w:p>
        </w:tc>
        <w:tc>
          <w:p>
            <w:pPr>
              <w:pStyle w:val="Compact"/>
              <w:jc w:val="right"/>
            </w:pPr>
            <w:r>
              <w:t xml:space="preserve">495 (87.5%)</w:t>
            </w:r>
          </w:p>
        </w:tc>
        <w:tc>
          <w:p>
            <w:pPr>
              <w:pStyle w:val="Compact"/>
              <w:jc w:val="right"/>
            </w:pPr>
            <w:r>
              <w:t xml:space="preserve">30 (5.3%)</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105 ( 9.9%)</w:t>
            </w:r>
          </w:p>
        </w:tc>
        <w:tc>
          <w:p>
            <w:pPr>
              <w:pStyle w:val="Compact"/>
              <w:jc w:val="right"/>
            </w:pPr>
            <w:r>
              <w:t xml:space="preserve">896 (84.8%)</w:t>
            </w:r>
          </w:p>
        </w:tc>
        <w:tc>
          <w:p>
            <w:pPr>
              <w:pStyle w:val="Compact"/>
              <w:jc w:val="right"/>
            </w:pPr>
            <w:r>
              <w:t xml:space="preserve">55 (5.2%)</w:t>
            </w:r>
          </w:p>
        </w:tc>
        <w:tc>
          <w:p>
            <w:pPr>
              <w:pStyle w:val="Compact"/>
              <w:jc w:val="right"/>
            </w:pPr>
            <w:r>
              <w:t xml:space="preserve">1056 (100.0%)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3"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dc:title>
  <dc:creator>Keana Richards</dc:creator>
  <cp:keywords/>
  <dcterms:created xsi:type="dcterms:W3CDTF">2020-08-06T21:29:26Z</dcterms:created>
  <dcterms:modified xsi:type="dcterms:W3CDTF">2020-08-06T21:29:26Z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