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2</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Participants were recruited on Amazon Mechanical Turk using the same pre-screening criteria as Study 1. The final sample consisted of 1076 participants (50.56% women), with an average age of 38.57 (</w:t>
      </w:r>
      <w:r>
        <w:rPr>
          <w:i/>
        </w:rPr>
        <w:t xml:space="preserve">SD</w:t>
      </w:r>
      <w:r>
        <w:t xml:space="preserve"> </w:t>
      </w:r>
      <w:r>
        <w:t xml:space="preserve">= 12.52)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p>
      <w:pPr>
        <w:pStyle w:val="BodyText"/>
      </w:pPr>
      <w:r>
        <w:t xml:space="preserve">We replicated the effect of gender on the choice to compete: 19.36% of men chose to compete compared to 13.6% of women. However, our primary hypothesis women would be more likely to compete in the preparation condition was not supported (see Figure @ref(fig:s200)).</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@ref(fig:s204)).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-1,</w:t>
      </w:r>
      <w:r>
        <w:t xml:space="preserve"> </w:t>
      </w:r>
      <w:r>
        <w:rPr>
          <w:i/>
        </w:rPr>
        <w:t xml:space="preserve">p</w:t>
      </w:r>
      <w:r>
        <w:t xml:space="preserve"> </w:t>
      </w:r>
      <w:r>
        <w:t xml:space="preserve">= 0.16 (see Figure @ref(fig:s200)).</w:t>
      </w:r>
    </w:p>
    <w:p>
      <w:pPr>
        <w:pStyle w:val="CaptionedFigure"/>
      </w:pPr>
      <w:r>
        <w:drawing>
          <wp:inline>
            <wp:extent cx="5334000" cy="5334000"/>
            <wp:effectExtent b="0" l="0" r="0" t="0"/>
            <wp:docPr descr="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female participants who chose to compete based on condition. Error bars represent standard error.</w:t>
      </w:r>
    </w:p>
    <w:p>
      <w:pPr>
        <w:pStyle w:val="BodyText"/>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p>
        </w:tc>
        <w:tc>
          <w:p>
            <w:pPr>
              <w:pStyle w:val="Compact"/>
              <w:jc w:val="right"/>
            </w:pPr>
            <w:r>
              <w:t xml:space="preserve">Total</w:t>
            </w:r>
          </w:p>
        </w:tc>
      </w:tr>
      <w:tr>
        <w:tc>
          <w:p>
            <w:pPr>
              <w:pStyle w:val="Compact"/>
              <w:jc w:val="left"/>
            </w:pPr>
            <w:r>
              <w:t xml:space="preserve">woman$comp_choice</w:t>
            </w:r>
          </w:p>
        </w:tc>
        <w:tc>
          <w:p/>
        </w:tc>
        <w:tc>
          <w:p/>
        </w:tc>
        <w:tc>
          <w:p/>
        </w:tc>
        <w:tc>
          <w:p/>
        </w:tc>
        <w:tc>
          <w:p/>
        </w:tc>
      </w:tr>
      <w:tr>
        <w:tc>
          <w:p>
            <w:pPr>
              <w:pStyle w:val="Compact"/>
              <w:jc w:val="left"/>
            </w:pPr>
            <w:r>
              <w:t xml:space="preserve">piecerate</w:t>
            </w:r>
          </w:p>
        </w:tc>
        <w:tc>
          <w:p/>
        </w:tc>
        <w:tc>
          <w:p>
            <w:pPr>
              <w:pStyle w:val="Compact"/>
              <w:jc w:val="right"/>
            </w:pPr>
            <w:r>
              <w:t xml:space="preserve">220 (48.4%)</w:t>
            </w:r>
          </w:p>
        </w:tc>
        <w:tc>
          <w:p>
            <w:pPr>
              <w:pStyle w:val="Compact"/>
              <w:jc w:val="right"/>
            </w:pPr>
            <w:r>
              <w:t xml:space="preserve">235 (51.6%)</w:t>
            </w:r>
          </w:p>
        </w:tc>
        <w:tc>
          <w:p>
            <w:pPr>
              <w:pStyle w:val="Compact"/>
              <w:jc w:val="right"/>
            </w:pPr>
            <w:r>
              <w:t xml:space="preserve">0 ( 0.0%)</w:t>
            </w:r>
          </w:p>
        </w:tc>
        <w:tc>
          <w:p>
            <w:pPr>
              <w:pStyle w:val="Compact"/>
              <w:jc w:val="right"/>
            </w:pPr>
            <w:r>
              <w:t xml:space="preserve">455 (100.0%)</w:t>
            </w:r>
          </w:p>
        </w:tc>
      </w:tr>
      <w:tr>
        <w:tc>
          <w:p>
            <w:pPr>
              <w:pStyle w:val="Compact"/>
              <w:jc w:val="left"/>
            </w:pPr>
            <w:r>
              <w:t xml:space="preserve">tournament</w:t>
            </w:r>
          </w:p>
        </w:tc>
        <w:tc>
          <w:p/>
        </w:tc>
        <w:tc>
          <w:p>
            <w:pPr>
              <w:pStyle w:val="Compact"/>
              <w:jc w:val="right"/>
            </w:pPr>
            <w:r>
              <w:t xml:space="preserve">41 (55.4%)</w:t>
            </w:r>
          </w:p>
        </w:tc>
        <w:tc>
          <w:p>
            <w:pPr>
              <w:pStyle w:val="Compact"/>
              <w:jc w:val="right"/>
            </w:pPr>
            <w:r>
              <w:t xml:space="preserve">33 (44.6%)</w:t>
            </w:r>
          </w:p>
        </w:tc>
        <w:tc>
          <w:p>
            <w:pPr>
              <w:pStyle w:val="Compact"/>
              <w:jc w:val="right"/>
            </w:pPr>
            <w:r>
              <w:t xml:space="preserve">0 ( 0.0%)</w:t>
            </w:r>
          </w:p>
        </w:tc>
        <w:tc>
          <w:p>
            <w:pPr>
              <w:pStyle w:val="Compact"/>
              <w:jc w:val="right"/>
            </w:pPr>
            <w:r>
              <w:t xml:space="preserve">74 (100.0%)</w:t>
            </w:r>
          </w:p>
        </w:tc>
      </w:tr>
      <w:tr>
        <w:tc>
          <w:p>
            <w:pPr>
              <w:pStyle w:val="Compact"/>
              <w:jc w:val="left"/>
            </w:pPr>
          </w:p>
        </w:tc>
        <w:tc>
          <w:p/>
        </w:tc>
        <w:tc>
          <w:p>
            <w:pPr>
              <w:pStyle w:val="Compact"/>
              <w:jc w:val="right"/>
            </w:pPr>
            <w:r>
              <w:t xml:space="preserve">7 (46.7%)</w:t>
            </w:r>
          </w:p>
        </w:tc>
        <w:tc>
          <w:p>
            <w:pPr>
              <w:pStyle w:val="Compact"/>
              <w:jc w:val="right"/>
            </w:pPr>
            <w:r>
              <w:t xml:space="preserve">0 ( 0.0%)</w:t>
            </w:r>
          </w:p>
        </w:tc>
        <w:tc>
          <w:p>
            <w:pPr>
              <w:pStyle w:val="Compact"/>
              <w:jc w:val="right"/>
            </w:pPr>
            <w:r>
              <w:t xml:space="preserve">8 (53.3%)</w:t>
            </w:r>
          </w:p>
        </w:tc>
        <w:tc>
          <w:p>
            <w:pPr>
              <w:pStyle w:val="Compact"/>
              <w:jc w:val="right"/>
            </w:pPr>
            <w:r>
              <w:t xml:space="preserve">15 (100.0%)</w:t>
            </w:r>
          </w:p>
        </w:tc>
      </w:tr>
      <w:tr>
        <w:tc>
          <w:p>
            <w:pPr>
              <w:pStyle w:val="Compact"/>
              <w:jc w:val="left"/>
            </w:pPr>
            <w:r>
              <w:t xml:space="preserve">Total</w:t>
            </w:r>
          </w:p>
        </w:tc>
        <w:tc>
          <w:p/>
        </w:tc>
        <w:tc>
          <w:p>
            <w:pPr>
              <w:pStyle w:val="Compact"/>
              <w:jc w:val="right"/>
            </w:pPr>
            <w:r>
              <w:t xml:space="preserve">268 (49.3%)</w:t>
            </w:r>
          </w:p>
        </w:tc>
        <w:tc>
          <w:p>
            <w:pPr>
              <w:pStyle w:val="Compact"/>
              <w:jc w:val="right"/>
            </w:pPr>
            <w:r>
              <w:t xml:space="preserve">268 (49.3%)</w:t>
            </w:r>
          </w:p>
        </w:tc>
        <w:tc>
          <w:p>
            <w:pPr>
              <w:pStyle w:val="Compact"/>
              <w:jc w:val="right"/>
            </w:pPr>
            <w:r>
              <w:t xml:space="preserve">8 ( 1.5%)</w:t>
            </w:r>
          </w:p>
        </w:tc>
        <w:tc>
          <w:p>
            <w:pPr>
              <w:pStyle w:val="Compact"/>
              <w:jc w:val="right"/>
            </w:pPr>
            <w:r>
              <w:t xml:space="preserve">544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 @ref(fig:s201)).</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287 (53.9%)</w:t>
            </w:r>
          </w:p>
        </w:tc>
        <w:tc>
          <w:p>
            <w:pPr>
              <w:pStyle w:val="Compact"/>
              <w:jc w:val="right"/>
            </w:pPr>
            <w:r>
              <w:t xml:space="preserve">218 (41.0%)</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212 (39.0%)</w:t>
            </w:r>
          </w:p>
        </w:tc>
        <w:tc>
          <w:p>
            <w:pPr>
              <w:pStyle w:val="Compact"/>
              <w:jc w:val="right"/>
            </w:pPr>
            <w:r>
              <w:t xml:space="preserve">306 (56.2%)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499 (46.4%)</w:t>
            </w:r>
          </w:p>
        </w:tc>
        <w:tc>
          <w:p>
            <w:pPr>
              <w:pStyle w:val="Compact"/>
              <w:jc w:val="right"/>
            </w:pPr>
            <w:r>
              <w:t xml:space="preserve">524 (48.7%)</w:t>
            </w:r>
          </w:p>
        </w:tc>
        <w:tc>
          <w:p>
            <w:pPr>
              <w:pStyle w:val="Compact"/>
              <w:jc w:val="right"/>
            </w:pPr>
            <w:r>
              <w:t xml:space="preserve">53 (4.9%)</w:t>
            </w:r>
          </w:p>
        </w:tc>
        <w:tc>
          <w:p>
            <w:pPr>
              <w:pStyle w:val="Compact"/>
              <w:jc w:val="right"/>
            </w:pPr>
            <w:r>
              <w:t xml:space="preserve">1076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 @ref(fig:s202)).</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455 (85.5%)</w:t>
            </w:r>
          </w:p>
        </w:tc>
        <w:tc>
          <w:p>
            <w:pPr>
              <w:pStyle w:val="Compact"/>
              <w:jc w:val="right"/>
            </w:pPr>
            <w:r>
              <w:t xml:space="preserve">50 ( 9.4%)</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441 (81.1%)</w:t>
            </w:r>
          </w:p>
        </w:tc>
        <w:tc>
          <w:p>
            <w:pPr>
              <w:pStyle w:val="Compact"/>
              <w:jc w:val="right"/>
            </w:pPr>
            <w:r>
              <w:t xml:space="preserve">77 (14.2%)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896 (83.3%)</w:t>
            </w:r>
          </w:p>
        </w:tc>
        <w:tc>
          <w:p>
            <w:pPr>
              <w:pStyle w:val="Compact"/>
              <w:jc w:val="right"/>
            </w:pPr>
            <w:r>
              <w:t xml:space="preserve">127 (11.8%)</w:t>
            </w:r>
          </w:p>
        </w:tc>
        <w:tc>
          <w:p>
            <w:pPr>
              <w:pStyle w:val="Compact"/>
              <w:jc w:val="right"/>
            </w:pPr>
            <w:r>
              <w:t xml:space="preserve">53 (4.9%)</w:t>
            </w:r>
          </w:p>
        </w:tc>
        <w:tc>
          <w:p>
            <w:pPr>
              <w:pStyle w:val="Compact"/>
              <w:jc w:val="right"/>
            </w:pPr>
            <w:r>
              <w:t xml:space="preserve">1076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 @ref(fig:s203)).</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108 (20.3%)</w:t>
            </w:r>
          </w:p>
        </w:tc>
        <w:tc>
          <w:p>
            <w:pPr>
              <w:pStyle w:val="Compact"/>
              <w:jc w:val="right"/>
            </w:pPr>
            <w:r>
              <w:t xml:space="preserve">396 (74.4%)</w:t>
            </w:r>
          </w:p>
        </w:tc>
        <w:tc>
          <w:p>
            <w:pPr>
              <w:pStyle w:val="Compact"/>
              <w:jc w:val="right"/>
            </w:pPr>
            <w:r>
              <w:t xml:space="preserve">28 (5.3%)</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41 ( 7.5%)</w:t>
            </w:r>
          </w:p>
        </w:tc>
        <w:tc>
          <w:p>
            <w:pPr>
              <w:pStyle w:val="Compact"/>
              <w:jc w:val="right"/>
            </w:pPr>
            <w:r>
              <w:t xml:space="preserve">475 (87.3%)</w:t>
            </w:r>
          </w:p>
        </w:tc>
        <w:tc>
          <w:p>
            <w:pPr>
              <w:pStyle w:val="Compact"/>
              <w:jc w:val="right"/>
            </w:pPr>
            <w:r>
              <w:t xml:space="preserve">28 (5.1%)</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149 (13.8%)</w:t>
            </w:r>
          </w:p>
        </w:tc>
        <w:tc>
          <w:p>
            <w:pPr>
              <w:pStyle w:val="Compact"/>
              <w:jc w:val="right"/>
            </w:pPr>
            <w:r>
              <w:t xml:space="preserve">871 (80.9%)</w:t>
            </w:r>
          </w:p>
        </w:tc>
        <w:tc>
          <w:p>
            <w:pPr>
              <w:pStyle w:val="Compact"/>
              <w:jc w:val="right"/>
            </w:pPr>
            <w:r>
              <w:t xml:space="preserve">56 (5.2%)</w:t>
            </w:r>
          </w:p>
        </w:tc>
        <w:tc>
          <w:p>
            <w:pPr>
              <w:pStyle w:val="Compact"/>
              <w:jc w:val="right"/>
            </w:pPr>
            <w:r>
              <w:t xml:space="preserve">1076 (100.0%)</w:t>
            </w:r>
          </w:p>
        </w:tc>
      </w:tr>
    </w:tbl>
    <w:p>
      <w:pPr>
        <w:pStyle w:val="Heading3"/>
      </w:pPr>
      <w:bookmarkStart w:id="29" w:name="exploratory-analyses"/>
      <w:r>
        <w:t xml:space="preserve">Exploratory analyses</w:t>
      </w:r>
      <w:bookmarkEnd w:id="29"/>
    </w:p>
    <w:p>
      <w:pPr>
        <w:pStyle w:val="FirstParagraph"/>
      </w:pPr>
      <w:r>
        <w:t xml:space="preserve">Exploratory analysis 1: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 @ref(fig:s204)).</w:t>
      </w:r>
    </w:p>
    <w:p>
      <w:pPr>
        <w:pStyle w:val="CaptionedFigure"/>
      </w:pPr>
      <w:r>
        <w:drawing>
          <wp:inline>
            <wp:extent cx="5334000" cy="5334000"/>
            <wp:effectExtent b="0" l="0" r="0" t="0"/>
            <wp:docPr descr="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dc:title>
  <dc:creator>Keana Richards</dc:creator>
  <cp:keywords/>
  <dcterms:created xsi:type="dcterms:W3CDTF">2020-08-06T21:30:25Z</dcterms:created>
  <dcterms:modified xsi:type="dcterms:W3CDTF">2020-08-06T21:30:25Z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