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The final sample consisted of 337 participants (56.97% women), with an average age of 37.4 (</w:t>
      </w:r>
      <w:r>
        <w:rPr>
          <w:i/>
        </w:rPr>
        <w:t xml:space="preserve">SD</w:t>
      </w:r>
      <w:r>
        <w:t xml:space="preserve"> </w:t>
      </w:r>
      <w:r>
        <w:t xml:space="preserve">= 11.67) years.</w:t>
      </w:r>
    </w:p>
    <w:p>
      <w:pPr>
        <w:pStyle w:val="BodyText"/>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BodyText"/>
      </w:pPr>
      <w:r>
        <w:t xml:space="preserve">In the first and second round of the task, participants were incentivized according to a piece-rate and tournament payment scheme, respectively</w:t>
      </w:r>
      <w:r>
        <w:t xml:space="preserve"> </w:t>
      </w:r>
      <w:r>
        <w:t xml:space="preserve">[@Niederle2007]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[@Niederle2007]</w:t>
      </w:r>
      <w:r>
        <w:t xml:space="preserve">.</w:t>
      </w:r>
    </w:p>
    <w:p>
      <w:pPr>
        <w:pStyle w:val="BodyText"/>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BodyText"/>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methods</dc:title>
  <dc:creator>Keana Richards</dc:creator>
  <cp:keywords/>
  <dcterms:created xsi:type="dcterms:W3CDTF">2020-08-06T21:22:17Z</dcterms:created>
  <dcterms:modified xsi:type="dcterms:W3CDTF">2020-08-06T21:22:17Z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