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Heading3"/>
      </w:pPr>
      <w:bookmarkStart w:id="22" w:name="pre-registered-analyses"/>
      <w:r>
        <w:t xml:space="preserve">Pre-registered analyses</w:t>
      </w:r>
      <w:r>
        <w:rPr>
          <w:rStyle w:val="FootnoteReference"/>
        </w:rPr>
        <w:footnoteReference w:id="20"/>
      </w:r>
      <w:bookmarkEnd w:id="22"/>
    </w:p>
    <w:p>
      <w:pPr>
        <w:pStyle w:val="BodyText"/>
      </w:pPr>
      <w:r>
        <w:rPr>
          <w:i/>
        </w:rPr>
        <w:t xml:space="preserve">Primary hypothesis 1.</w:t>
      </w:r>
      <w:r>
        <w:t xml:space="preserve"> </w:t>
      </w:r>
      <w:r>
        <w:t xml:space="preserve">Using a logistic regression with gender predicting willingness to compete in round 3, we do not find significant evidence of gender differences in the choice to compete,</w:t>
      </w:r>
      <w:r>
        <w:t xml:space="preserve"> </w:t>
      </w:r>
      <m:oMath>
        <m:r>
          <m:t>b</m:t>
        </m:r>
        <m:r>
          <m:t>=</m:t>
        </m:r>
        <m:r>
          <m:t>−</m:t>
        </m:r>
        <m:r>
          <m:t>0.17</m:t>
        </m:r>
      </m:oMath>
      <w:r>
        <w:t xml:space="preserve">, 95% CI</w:t>
      </w:r>
      <w:r>
        <w:t xml:space="preserve"> </w:t>
      </w:r>
      <m:oMath>
        <m:r>
          <m:t>[</m:t>
        </m:r>
        <m:r>
          <m:t>−</m:t>
        </m:r>
        <m:r>
          <m:t>0.64</m:t>
        </m:r>
      </m:oMath>
      <w:r>
        <w:t xml:space="preserve">,</w:t>
      </w:r>
      <w:r>
        <w:t xml:space="preserve"> </w:t>
      </w:r>
      <m:oMath>
        <m:r>
          <m:t>0.30</m:t>
        </m:r>
        <m:r>
          <m:t>]</m:t>
        </m:r>
      </m:oMath>
      <w:r>
        <w:t xml:space="preserve">,</w:t>
      </w:r>
      <w:r>
        <w:t xml:space="preserve"> </w:t>
      </w:r>
      <m:oMath>
        <m:r>
          <m:t>z</m:t>
        </m:r>
        <m:r>
          <m:t>=</m:t>
        </m:r>
        <m:r>
          <m:t>−</m:t>
        </m:r>
        <m:r>
          <m:t>0.72</m:t>
        </m:r>
      </m:oMath>
      <w:r>
        <w:t xml:space="preserve">,</w:t>
      </w:r>
      <w:r>
        <w:t xml:space="preserve"> </w:t>
      </w:r>
      <m:oMath>
        <m:r>
          <m:t>p</m:t>
        </m:r>
        <m:r>
          <m:t>=</m:t>
        </m:r>
        <m:r>
          <m:t>.474</m:t>
        </m:r>
      </m:oMath>
      <w:r>
        <w:t xml:space="preserve">, though men chose to compete more often (34.48%) compared to women (29.69%) (see Figure</w:t>
      </w:r>
      <w:r>
        <w:t xml:space="preserve"> </w:t>
      </w:r>
      <w:r>
        <w:t xml:space="preserve">1</w:t>
      </w:r>
      <w:r>
        <w:t xml:space="preserve">). Note: the results for the chi-square test are similar:</w:t>
      </w:r>
      <w:r>
        <w:t xml:space="preserve"> </w:t>
      </w:r>
      <m:oMath>
        <m:sSup>
          <m:e>
            <m:r>
              <m:t>χ</m:t>
            </m:r>
          </m:e>
          <m:sup>
            <m:r>
              <m:t>2</m:t>
            </m:r>
          </m:sup>
        </m:sSup>
        <m:r>
          <m:t>(</m:t>
        </m:r>
        <m:r>
          <m:t>1</m:t>
        </m:r>
        <m:r>
          <m:t>,</m:t>
        </m:r>
        <m:r>
          <m:t>n</m:t>
        </m:r>
        <m:r>
          <m:t>=</m:t>
        </m:r>
        <m:r>
          <m:t>546</m:t>
        </m:r>
        <m:r>
          <m:t>)</m:t>
        </m:r>
        <m:r>
          <m:t>=</m:t>
        </m:r>
        <m:r>
          <m:t>0.36</m:t>
        </m:r>
      </m:oMath>
      <w:r>
        <w:t xml:space="preserve">,</w:t>
      </w:r>
      <w:r>
        <w:t xml:space="preserve"> </w:t>
      </w:r>
      <m:oMath>
        <m:r>
          <m:t>p</m:t>
        </m:r>
        <m:r>
          <m:t>=</m:t>
        </m:r>
        <m:r>
          <m:t>.551</m:t>
        </m:r>
      </m:oMath>
      <w:r>
        <w:t xml:space="preserve">.</w:t>
      </w:r>
    </w:p>
    <w:p>
      <w:pPr>
        <w:pStyle w:val="CaptionedFigure"/>
      </w:pPr>
      <w:r>
        <w:drawing>
          <wp:inline>
            <wp:extent cx="5334000" cy="5334000"/>
            <wp:effectExtent b="0" l="0" r="0" t="0"/>
            <wp:docPr descr="Figure 1: Proportion of participants who chose to compete based on participant gender. Error bars represent standard errors." title="" id="1" name="Picture"/>
            <a:graphic>
              <a:graphicData uri="http://schemas.openxmlformats.org/drawingml/2006/picture">
                <pic:pic>
                  <pic:nvPicPr>
                    <pic:cNvPr descr="C:/Users/keana/OneDrive%20-%20PennO365/Comp_transfer2018/Penn/practice_study/gender-practice/pilot/figs/fig00_comp-choice-by-gender-bar.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participants who chose to compete based on participant gender. Error bars represent standard errors.</w:t>
      </w:r>
    </w:p>
    <w:p>
      <w:pPr>
        <w:pStyle w:val="BodyText"/>
      </w:pPr>
      <w:r>
        <w:t xml:space="preserve">Cross-Tabulation, Row Proportions</w:t>
      </w:r>
      <w:r>
        <w:br/>
      </w:r>
      <w:r>
        <w:t xml:space="preserve">gender * comp_choice</w:t>
      </w:r>
      <w:r>
        <w:br/>
      </w:r>
      <w:r>
        <w:t xml:space="preserve">Data Frame: clean</w:t>
      </w:r>
    </w:p>
    <w:tbl>
      <w:tblPr>
        <w:tblStyle w:val="Table"/>
        <w:tblW w:type="pct" w:w="0.0"/>
        <w:tblLook w:firstRow="0"/>
      </w:tblPr>
      <w:tblGrid/>
      <w:tr>
        <w:tc>
          <w:p/>
        </w:tc>
        <w:tc>
          <w:p>
            <w:pPr>
              <w:pStyle w:val="Compact"/>
              <w:jc w:val="right"/>
            </w:pPr>
            <w:r>
              <w:t xml:space="preserve">comp_choice</w:t>
            </w:r>
          </w:p>
        </w:tc>
        <w:tc>
          <w:p>
            <w:pPr>
              <w:pStyle w:val="Compact"/>
              <w:jc w:val="right"/>
            </w:pPr>
            <w:r>
              <w:t xml:space="preserve">piecerate</w:t>
            </w:r>
          </w:p>
        </w:tc>
        <w:tc>
          <w:p>
            <w:pPr>
              <w:pStyle w:val="Compact"/>
              <w:jc w:val="right"/>
            </w:pPr>
            <w:r>
              <w:t xml:space="preserve">tournament</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91 (62.8%)</w:t>
            </w:r>
          </w:p>
        </w:tc>
        <w:tc>
          <w:p>
            <w:pPr>
              <w:pStyle w:val="Compact"/>
              <w:jc w:val="right"/>
            </w:pPr>
            <w:r>
              <w:t xml:space="preserve">50 (34.5%)</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123 (64.1%)</w:t>
            </w:r>
          </w:p>
        </w:tc>
        <w:tc>
          <w:p>
            <w:pPr>
              <w:pStyle w:val="Compact"/>
              <w:jc w:val="right"/>
            </w:pPr>
            <w:r>
              <w:t xml:space="preserve">57 (29.7%)</w:t>
            </w:r>
          </w:p>
        </w:tc>
        <w:tc>
          <w:p>
            <w:pPr>
              <w:pStyle w:val="Compact"/>
              <w:jc w:val="right"/>
            </w:pPr>
            <w:r>
              <w:t xml:space="preserve">12 (6.2%)</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214 (63.5%)</w:t>
            </w:r>
          </w:p>
        </w:tc>
        <w:tc>
          <w:p>
            <w:pPr>
              <w:pStyle w:val="Compact"/>
              <w:jc w:val="right"/>
            </w:pPr>
            <w:r>
              <w:t xml:space="preserve">107 (31.8%)</w:t>
            </w:r>
          </w:p>
        </w:tc>
        <w:tc>
          <w:p>
            <w:pPr>
              <w:pStyle w:val="Compact"/>
              <w:jc w:val="right"/>
            </w:pPr>
            <w:r>
              <w:t xml:space="preserve">16 (4.7%)</w:t>
            </w:r>
          </w:p>
        </w:tc>
        <w:tc>
          <w:p>
            <w:pPr>
              <w:pStyle w:val="Compact"/>
              <w:jc w:val="right"/>
            </w:pPr>
            <w:r>
              <w:t xml:space="preserve">337 (100.0%)</w:t>
            </w:r>
          </w:p>
        </w:tc>
      </w:tr>
    </w:tbl>
    <w:p>
      <w:pPr>
        <w:pStyle w:val="BodyText"/>
      </w:pPr>
      <w:r>
        <w:rPr>
          <w:i/>
        </w:rPr>
        <w:t xml:space="preserve">Secondary hypothesis 1.</w:t>
      </w:r>
      <w:r>
        <w:t xml:space="preserve"> </w:t>
      </w:r>
      <w:r>
        <w:t xml:space="preserve">Using a logistic regression with gender predicting willingness to compete in round 3 while including confidence and risk aversion as controls, we do not find significant evidence of gender differences in the choice to compete,</w:t>
      </w:r>
      <w:r>
        <w:t xml:space="preserve"> </w:t>
      </w:r>
      <m:oMath>
        <m:r>
          <m:t>b</m:t>
        </m:r>
        <m:r>
          <m:t>=</m:t>
        </m:r>
        <m:r>
          <m:t>0.16</m:t>
        </m:r>
      </m:oMath>
      <w:r>
        <w:t xml:space="preserve">, 95% CI</w:t>
      </w:r>
      <w:r>
        <w:t xml:space="preserve"> </w:t>
      </w:r>
      <m:oMath>
        <m:r>
          <m:t>[</m:t>
        </m:r>
        <m:r>
          <m:t>−</m:t>
        </m:r>
        <m:r>
          <m:t>0.35</m:t>
        </m:r>
      </m:oMath>
      <w:r>
        <w:t xml:space="preserve">,</w:t>
      </w:r>
      <w:r>
        <w:t xml:space="preserve"> </w:t>
      </w:r>
      <m:oMath>
        <m:r>
          <m:t>0.69</m:t>
        </m:r>
        <m:r>
          <m:t>]</m:t>
        </m:r>
      </m:oMath>
      <w:r>
        <w:t xml:space="preserve">,</w:t>
      </w:r>
      <w:r>
        <w:t xml:space="preserve"> </w:t>
      </w:r>
      <m:oMath>
        <m:r>
          <m:t>z</m:t>
        </m:r>
        <m:r>
          <m:t>=</m:t>
        </m:r>
        <m:r>
          <m:t>0.63</m:t>
        </m:r>
      </m:oMath>
      <w:r>
        <w:t xml:space="preserve">,</w:t>
      </w:r>
      <w:r>
        <w:t xml:space="preserve"> </w:t>
      </w:r>
      <m:oMath>
        <m:r>
          <m:t>p</m:t>
        </m:r>
        <m:r>
          <m:t>=</m:t>
        </m:r>
        <m:r>
          <m:t>.532</m:t>
        </m:r>
      </m:oMath>
      <w:r>
        <w:t xml:space="preserve">. Instead, confidence,</w:t>
      </w:r>
      <w:r>
        <w:t xml:space="preserve"> </w:t>
      </w:r>
      <m:oMath>
        <m:r>
          <m:t>b</m:t>
        </m:r>
        <m:r>
          <m:t>=</m:t>
        </m:r>
        <m:r>
          <m:t>−</m:t>
        </m:r>
        <m:r>
          <m:t>1.33</m:t>
        </m:r>
      </m:oMath>
      <w:r>
        <w:t xml:space="preserve">, 95% CI</w:t>
      </w:r>
      <w:r>
        <w:t xml:space="preserve"> </w:t>
      </w:r>
      <m:oMath>
        <m:r>
          <m:t>[</m:t>
        </m:r>
        <m:r>
          <m:t>−</m:t>
        </m:r>
        <m:r>
          <m:t>1.88</m:t>
        </m:r>
      </m:oMath>
      <w:r>
        <w:t xml:space="preserve">,</w:t>
      </w:r>
      <w:r>
        <w:t xml:space="preserve"> </w:t>
      </w:r>
      <m:oMath>
        <m:r>
          <m:t>−</m:t>
        </m:r>
        <m:r>
          <m:t>0.80</m:t>
        </m:r>
        <m:r>
          <m:t>]</m:t>
        </m:r>
      </m:oMath>
      <w:r>
        <w:t xml:space="preserve">,</w:t>
      </w:r>
      <w:r>
        <w:t xml:space="preserve"> </w:t>
      </w:r>
      <m:oMath>
        <m:r>
          <m:t>z</m:t>
        </m:r>
        <m:r>
          <m:t>=</m:t>
        </m:r>
        <m:r>
          <m:t>−</m:t>
        </m:r>
        <m:r>
          <m:t>4.87</m:t>
        </m:r>
      </m:oMath>
      <w:r>
        <w:t xml:space="preserve">,</w:t>
      </w:r>
      <w:r>
        <w:t xml:space="preserve"> </w:t>
      </w:r>
      <m:oMath>
        <m:r>
          <m:t>p</m:t>
        </m:r>
        <m:r>
          <m:t>&lt;</m:t>
        </m:r>
        <m:r>
          <m:t>.001</m:t>
        </m:r>
      </m:oMath>
      <w:r>
        <w:t xml:space="preserve"> </w:t>
      </w:r>
      <w:r>
        <w:t xml:space="preserve">and risk aversion,</w:t>
      </w:r>
      <w:r>
        <w:t xml:space="preserve"> </w:t>
      </w:r>
      <m:oMath>
        <m:r>
          <m:t>b</m:t>
        </m:r>
        <m:r>
          <m:t>=</m:t>
        </m:r>
        <m:r>
          <m:t>0.21</m:t>
        </m:r>
      </m:oMath>
      <w:r>
        <w:t xml:space="preserve">, 95% CI</w:t>
      </w:r>
      <w:r>
        <w:t xml:space="preserve"> </w:t>
      </w:r>
      <m:oMath>
        <m:r>
          <m:t>[</m:t>
        </m:r>
        <m:r>
          <m:t>0.12</m:t>
        </m:r>
      </m:oMath>
      <w:r>
        <w:t xml:space="preserve">,</w:t>
      </w:r>
      <w:r>
        <w:t xml:space="preserve"> </w:t>
      </w:r>
      <m:oMath>
        <m:r>
          <m:t>0.32</m:t>
        </m:r>
        <m:r>
          <m:t>]</m:t>
        </m:r>
      </m:oMath>
      <w:r>
        <w:t xml:space="preserve">,</w:t>
      </w:r>
      <w:r>
        <w:t xml:space="preserve"> </w:t>
      </w:r>
      <m:oMath>
        <m:r>
          <m:t>z</m:t>
        </m:r>
        <m:r>
          <m:t>=</m:t>
        </m:r>
        <m:r>
          <m:t>4.27</m:t>
        </m:r>
      </m:oMath>
      <w:r>
        <w:t xml:space="preserve">,</w:t>
      </w:r>
      <w:r>
        <w:t xml:space="preserve"> </w:t>
      </w:r>
      <m:oMath>
        <m:r>
          <m:t>p</m:t>
        </m:r>
        <m:r>
          <m:t>&lt;</m:t>
        </m:r>
        <m:r>
          <m:t>.001</m:t>
        </m:r>
      </m:oMath>
      <w:r>
        <w:t xml:space="preserve"> </w:t>
      </w:r>
      <w:r>
        <w:t xml:space="preserve">significantly predicted the decision to compete.</w:t>
      </w:r>
    </w:p>
    <w:p>
      <w:pPr>
        <w:pStyle w:val="Heading3"/>
      </w:pPr>
      <w:bookmarkStart w:id="24" w:name="exploratory-analyses"/>
      <w:r>
        <w:t xml:space="preserve">Exploratory analyses</w:t>
      </w:r>
      <w:bookmarkEnd w:id="24"/>
    </w:p>
    <w:p>
      <w:pPr>
        <w:pStyle w:val="FirstParagraph"/>
      </w:pPr>
      <w:r>
        <w:t xml:space="preserve">We also ran exploratory analyses outside of the pre-registered analyses, which will be discussed briefly here. First, we explored whether there is a gender difference in participants’ willingness to practice, if given the chance. Using a logistic regression, we find that gender predicts (hypothetical) willingness to practice the task,</w:t>
      </w:r>
      <w:r>
        <w:t xml:space="preserve"> </w:t>
      </w:r>
      <m:oMath>
        <m:r>
          <m:t>b</m:t>
        </m:r>
        <m:r>
          <m:t>=</m:t>
        </m:r>
        <m:r>
          <m:t>0.67</m:t>
        </m:r>
      </m:oMath>
      <w:r>
        <w:t xml:space="preserve">, 95% CI</w:t>
      </w:r>
      <w:r>
        <w:t xml:space="preserve"> </w:t>
      </w:r>
      <m:oMath>
        <m:r>
          <m:t>[</m:t>
        </m:r>
        <m:r>
          <m:t>0.06</m:t>
        </m:r>
      </m:oMath>
      <w:r>
        <w:t xml:space="preserve">,</w:t>
      </w:r>
      <w:r>
        <w:t xml:space="preserve"> </w:t>
      </w:r>
      <m:oMath>
        <m:r>
          <m:t>1.29</m:t>
        </m:r>
        <m:r>
          <m:t>]</m:t>
        </m:r>
      </m:oMath>
      <w:r>
        <w:t xml:space="preserve">,</w:t>
      </w:r>
      <w:r>
        <w:t xml:space="preserve"> </w:t>
      </w:r>
      <m:oMath>
        <m:r>
          <m:t>z</m:t>
        </m:r>
        <m:r>
          <m:t>=</m:t>
        </m:r>
        <m:r>
          <m:t>2.14</m:t>
        </m:r>
      </m:oMath>
      <w:r>
        <w:t xml:space="preserve">,</w:t>
      </w:r>
      <w:r>
        <w:t xml:space="preserve"> </w:t>
      </w:r>
      <m:oMath>
        <m:r>
          <m:t>p</m:t>
        </m:r>
        <m:r>
          <m:t>=</m:t>
        </m:r>
        <m:r>
          <m:t>.033</m:t>
        </m:r>
      </m:oMath>
      <w:r>
        <w:t xml:space="preserve"> </w:t>
      </w:r>
      <w:r>
        <w:t xml:space="preserve">(see Figure</w:t>
      </w:r>
      <w:r>
        <w:t xml:space="preserve"> </w:t>
      </w:r>
      <w:r>
        <w:t xml:space="preserve">2</w:t>
      </w:r>
      <w:r>
        <w:t xml:space="preserve">).</w:t>
      </w:r>
    </w:p>
    <w:p>
      <w:pPr>
        <w:pStyle w:val="CaptionedFigure"/>
      </w:pPr>
      <w:r>
        <w:drawing>
          <wp:inline>
            <wp:extent cx="5334000" cy="5334000"/>
            <wp:effectExtent b="0" l="0" r="0" t="0"/>
            <wp:docPr descr="Figure 2: Proportion of participants who indicated they would have taken the opportunity to practice the key-entry task if provided based on participant gender. Error bars represent standard errors." title="" id="1" name="Picture"/>
            <a:graphic>
              <a:graphicData uri="http://schemas.openxmlformats.org/drawingml/2006/picture">
                <pic:pic>
                  <pic:nvPicPr>
                    <pic:cNvPr descr="C:/Users/keana/OneDrive%20-%20PennO365/Comp_transfer2018/Penn/practice_study/gender-practice/pilot/figs/fig01_pract-choice-by-gender-bar.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Proportion of participants who indicated they would have taken the opportunity to practice the key-entry task if provided based on participant gender. Error bars represent standard errors.</w:t>
      </w:r>
    </w:p>
    <w:p>
      <w:pPr>
        <w:pStyle w:val="BodyText"/>
      </w:pPr>
      <w:r>
        <w:t xml:space="preserve">Cross-Tabulation, Row Proportions</w:t>
      </w:r>
      <w:r>
        <w:br/>
      </w:r>
      <w:r>
        <w:t xml:space="preserve">gender * pract_choice</w:t>
      </w:r>
      <w:r>
        <w:br/>
      </w:r>
      <w:r>
        <w:t xml:space="preserve">Data Frame: clean</w:t>
      </w:r>
    </w:p>
    <w:tbl>
      <w:tblPr>
        <w:tblStyle w:val="Table"/>
        <w:tblW w:type="pct" w:w="0.0"/>
        <w:tblLook w:firstRow="0"/>
      </w:tblPr>
      <w:tblGrid/>
      <w:tr>
        <w:tc>
          <w:p/>
        </w:tc>
        <w:tc>
          <w:p>
            <w:pPr>
              <w:pStyle w:val="Compact"/>
              <w:jc w:val="right"/>
            </w:pPr>
            <w:r>
              <w:t xml:space="preserve">pract_choice</w:t>
            </w:r>
          </w:p>
        </w:tc>
        <w:tc>
          <w:p>
            <w:pPr>
              <w:pStyle w:val="Compact"/>
              <w:jc w:val="right"/>
            </w:pPr>
            <w:r>
              <w:t xml:space="preserve">No</w:t>
            </w:r>
          </w:p>
        </w:tc>
        <w:tc>
          <w:p>
            <w:pPr>
              <w:pStyle w:val="Compact"/>
              <w:jc w:val="right"/>
            </w:pPr>
            <w:r>
              <w:t xml:space="preserve">Yes</w:t>
            </w:r>
          </w:p>
        </w:tc>
        <w:tc>
          <w:p>
            <w:pPr>
              <w:pStyle w:val="Compact"/>
              <w:jc w:val="right"/>
            </w:pPr>
          </w:p>
        </w:tc>
        <w:tc>
          <w:p>
            <w:pPr>
              <w:pStyle w:val="Compact"/>
              <w:jc w:val="right"/>
            </w:pPr>
            <w:r>
              <w:t xml:space="preserve">Total</w:t>
            </w:r>
          </w:p>
        </w:tc>
      </w:tr>
      <w:tr>
        <w:tc>
          <w:p>
            <w:pPr>
              <w:pStyle w:val="Compact"/>
              <w:jc w:val="left"/>
            </w:pPr>
            <w:r>
              <w:t xml:space="preserve">gender</w:t>
            </w:r>
          </w:p>
        </w:tc>
        <w:tc>
          <w:p/>
        </w:tc>
        <w:tc>
          <w:p/>
        </w:tc>
        <w:tc>
          <w:p/>
        </w:tc>
        <w:tc>
          <w:p/>
        </w:tc>
        <w:tc>
          <w:p/>
        </w:tc>
      </w:tr>
      <w:tr>
        <w:tc>
          <w:p>
            <w:pPr>
              <w:pStyle w:val="Compact"/>
              <w:jc w:val="left"/>
            </w:pPr>
            <w:r>
              <w:t xml:space="preserve">Man</w:t>
            </w:r>
          </w:p>
        </w:tc>
        <w:tc>
          <w:p/>
        </w:tc>
        <w:tc>
          <w:p>
            <w:pPr>
              <w:pStyle w:val="Compact"/>
              <w:jc w:val="right"/>
            </w:pPr>
            <w:r>
              <w:t xml:space="preserve">29 (20.0%)</w:t>
            </w:r>
          </w:p>
        </w:tc>
        <w:tc>
          <w:p>
            <w:pPr>
              <w:pStyle w:val="Compact"/>
              <w:jc w:val="right"/>
            </w:pPr>
            <w:r>
              <w:t xml:space="preserve">112 (77.2%)</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21 (10.9%)</w:t>
            </w:r>
          </w:p>
        </w:tc>
        <w:tc>
          <w:p>
            <w:pPr>
              <w:pStyle w:val="Compact"/>
              <w:jc w:val="right"/>
            </w:pPr>
            <w:r>
              <w:t xml:space="preserve">158 (82.3%)</w:t>
            </w:r>
          </w:p>
        </w:tc>
        <w:tc>
          <w:p>
            <w:pPr>
              <w:pStyle w:val="Compact"/>
              <w:jc w:val="right"/>
            </w:pPr>
            <w:r>
              <w:t xml:space="preserve">13 (6.8%)</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50 (14.8%)</w:t>
            </w:r>
          </w:p>
        </w:tc>
        <w:tc>
          <w:p>
            <w:pPr>
              <w:pStyle w:val="Compact"/>
              <w:jc w:val="right"/>
            </w:pPr>
            <w:r>
              <w:t xml:space="preserve">270 (80.1%)</w:t>
            </w:r>
          </w:p>
        </w:tc>
        <w:tc>
          <w:p>
            <w:pPr>
              <w:pStyle w:val="Compact"/>
              <w:jc w:val="right"/>
            </w:pPr>
            <w:r>
              <w:t xml:space="preserve">17 (5.0%)</w:t>
            </w:r>
          </w:p>
        </w:tc>
        <w:tc>
          <w:p>
            <w:pPr>
              <w:pStyle w:val="Compact"/>
              <w:jc w:val="right"/>
            </w:pPr>
            <w:r>
              <w:t xml:space="preserve">337 (100.0%)</w:t>
            </w:r>
          </w:p>
        </w:tc>
      </w:tr>
    </w:tbl>
    <w:p>
      <w:pPr>
        <w:pStyle w:val="BodyText"/>
      </w:pPr>
      <w:r>
        <w:t xml:space="preserve">We also explored whether there were gender differences in the number of minutes participants said they would hypothetically be willing to practice with a t-test, but did not find evidence that there were gender differences in participants’ responses to this question,</w:t>
      </w:r>
      <w:r>
        <w:t xml:space="preserve"> </w:t>
      </w:r>
      <m:oMath>
        <m:r>
          <m:t>Δ</m:t>
        </m:r>
        <m:r>
          <m:t>M</m:t>
        </m:r>
        <m:r>
          <m:t>=</m:t>
        </m:r>
        <m:r>
          <m:t>−</m:t>
        </m:r>
        <m:r>
          <m:t>0.26</m:t>
        </m:r>
      </m:oMath>
      <w:r>
        <w:t xml:space="preserve">, 95% CI</w:t>
      </w:r>
      <w:r>
        <w:t xml:space="preserve"> </w:t>
      </w:r>
      <m:oMath>
        <m:r>
          <m:t>[</m:t>
        </m:r>
        <m:r>
          <m:t>−</m:t>
        </m:r>
        <m:r>
          <m:t>2.08</m:t>
        </m:r>
      </m:oMath>
      <w:r>
        <w:t xml:space="preserve">,</w:t>
      </w:r>
      <w:r>
        <w:t xml:space="preserve"> </w:t>
      </w:r>
      <m:oMath>
        <m:r>
          <m:t>1.56</m:t>
        </m:r>
        <m:r>
          <m:t>]</m:t>
        </m:r>
      </m:oMath>
      <w:r>
        <w:t xml:space="preserve">,</w:t>
      </w:r>
      <w:r>
        <w:t xml:space="preserve"> </w:t>
      </w:r>
      <m:oMath>
        <m:r>
          <m:t>t</m:t>
        </m:r>
        <m:r>
          <m:t>(</m:t>
        </m:r>
        <m:r>
          <m:t>233.54</m:t>
        </m:r>
        <m:r>
          <m:t>)</m:t>
        </m:r>
        <m:r>
          <m:t>=</m:t>
        </m:r>
        <m:r>
          <m:t>−</m:t>
        </m:r>
        <m:r>
          <m:t>0.28</m:t>
        </m:r>
      </m:oMath>
      <w:r>
        <w:t xml:space="preserve">,</w:t>
      </w:r>
      <w:r>
        <w:t xml:space="preserve"> </w:t>
      </w:r>
      <m:oMath>
        <m:r>
          <m:t>p</m:t>
        </m:r>
        <m:r>
          <m:t>=</m:t>
        </m:r>
        <m:r>
          <m:t>.776</m:t>
        </m:r>
      </m:oMath>
      <w:r>
        <w:t xml:space="preserve">.</w:t>
      </w:r>
    </w:p>
    <w:p>
      <w:pPr>
        <w:pStyle w:val="BodyText"/>
      </w:pPr>
      <w:r>
        <w:t xml:space="preserve">Finally, we explored participants’ perceptions of gender differences, and tested whether there were any significant gender differences in these perceptions through a series of chi-square tests. First, we explored whether participants were more likely to predict women or men would perform better on the task, and whether there were any gender differences in these perceptions. We find that participants were significantly more likely to believe that women outperformed men on the matching task,</w:t>
      </w:r>
      <w:r>
        <w:t xml:space="preserve"> </w:t>
      </w:r>
      <m:oMath>
        <m:sSup>
          <m:e>
            <m:r>
              <m:t>χ</m:t>
            </m:r>
          </m:e>
          <m:sup>
            <m:r>
              <m:t>2</m:t>
            </m:r>
          </m:sup>
        </m:sSup>
        <m:r>
          <m:t>(</m:t>
        </m:r>
        <m:r>
          <m:t>1</m:t>
        </m:r>
        <m:r>
          <m:t>,</m:t>
        </m:r>
        <m:r>
          <m:t>n</m:t>
        </m:r>
        <m:r>
          <m:t>=</m:t>
        </m:r>
        <m:r>
          <m:t>337</m:t>
        </m:r>
        <m:r>
          <m:t>)</m:t>
        </m:r>
        <m:r>
          <m:t>=</m:t>
        </m:r>
        <m:r>
          <m:t>64.80</m:t>
        </m:r>
      </m:oMath>
      <w:r>
        <w:t xml:space="preserve">,</w:t>
      </w:r>
      <w:r>
        <w:t xml:space="preserve"> </w:t>
      </w:r>
      <m:oMath>
        <m:r>
          <m:t>p</m:t>
        </m:r>
        <m:r>
          <m:t>&lt;</m:t>
        </m:r>
        <m:r>
          <m:t>.001</m:t>
        </m:r>
      </m:oMath>
      <w:r>
        <w:t xml:space="preserve">, and women were significantly more likely to make this prediction,</w:t>
      </w:r>
      <w:r>
        <w:t xml:space="preserve"> </w:t>
      </w:r>
      <m:oMath>
        <m:sSup>
          <m:e>
            <m:r>
              <m:t>χ</m:t>
            </m:r>
          </m:e>
          <m:sup>
            <m:r>
              <m:t>2</m:t>
            </m:r>
          </m:sup>
        </m:sSup>
        <m:r>
          <m:t>(</m:t>
        </m:r>
        <m:r>
          <m:t>1</m:t>
        </m:r>
        <m:r>
          <m:t>,</m:t>
        </m:r>
        <m:r>
          <m:t>n</m:t>
        </m:r>
        <m:r>
          <m:t>=</m:t>
        </m:r>
        <m:r>
          <m:t>337</m:t>
        </m:r>
        <m:r>
          <m:t>)</m:t>
        </m:r>
        <m:r>
          <m:t>=</m:t>
        </m:r>
        <m:r>
          <m:t>13.79</m:t>
        </m:r>
      </m:oMath>
      <w:r>
        <w:t xml:space="preserve">,</w:t>
      </w:r>
      <w:r>
        <w:t xml:space="preserve"> </w:t>
      </w:r>
      <m:oMath>
        <m:r>
          <m:t>p</m:t>
        </m:r>
        <m:r>
          <m:t>&lt;</m:t>
        </m:r>
        <m:r>
          <m:t>.001</m:t>
        </m:r>
      </m:oMath>
      <w:r>
        <w:t xml:space="preserve">, even though there were no gender differences in performance</w:t>
      </w:r>
      <w:r>
        <w:t xml:space="preserve"> </w:t>
      </w:r>
      <m:oMath>
        <m:r>
          <m:t>Δ</m:t>
        </m:r>
        <m:r>
          <m:t>M</m:t>
        </m:r>
        <m:r>
          <m:t>=</m:t>
        </m:r>
        <m:r>
          <m:t>3.92</m:t>
        </m:r>
      </m:oMath>
      <w:r>
        <w:t xml:space="preserve">, 95% CI</w:t>
      </w:r>
      <w:r>
        <w:t xml:space="preserve"> </w:t>
      </w:r>
      <m:oMath>
        <m:r>
          <m:t>[</m:t>
        </m:r>
        <m:r>
          <m:t>−</m:t>
        </m:r>
        <m:r>
          <m:t>0.45</m:t>
        </m:r>
      </m:oMath>
      <w:r>
        <w:t xml:space="preserve">,</w:t>
      </w:r>
      <w:r>
        <w:t xml:space="preserve"> </w:t>
      </w:r>
      <m:oMath>
        <m:r>
          <m:t>8.28</m:t>
        </m:r>
        <m:r>
          <m:t>]</m:t>
        </m:r>
      </m:oMath>
      <w:r>
        <w:t xml:space="preserve">,</w:t>
      </w:r>
      <w:r>
        <w:t xml:space="preserve"> </w:t>
      </w:r>
      <m:oMath>
        <m:r>
          <m:t>t</m:t>
        </m:r>
        <m:r>
          <m:t>(</m:t>
        </m:r>
        <m:r>
          <m:t>307.07</m:t>
        </m:r>
        <m:r>
          <m:t>)</m:t>
        </m:r>
        <m:r>
          <m:t>=</m:t>
        </m:r>
        <m:r>
          <m:t>1.77</m:t>
        </m:r>
      </m:oMath>
      <w:r>
        <w:t xml:space="preserve">,</w:t>
      </w:r>
      <w:r>
        <w:t xml:space="preserve"> </w:t>
      </w:r>
      <m:oMath>
        <m:r>
          <m:t>p</m:t>
        </m:r>
        <m:r>
          <m:t>=</m:t>
        </m:r>
        <m:r>
          <m:t>.078</m:t>
        </m:r>
      </m:oMath>
      <w:r>
        <w:t xml:space="preserve">. Additionally, the majority of participants that their score would have improved if they practiced the task beforehand,</w:t>
      </w:r>
      <w:r>
        <w:t xml:space="preserve"> </w:t>
      </w:r>
      <m:oMath>
        <m:sSup>
          <m:e>
            <m:r>
              <m:t>χ</m:t>
            </m:r>
          </m:e>
          <m:sup>
            <m:r>
              <m:t>2</m:t>
            </m:r>
          </m:sup>
        </m:sSup>
        <m:r>
          <m:t>(</m:t>
        </m:r>
        <m:r>
          <m:t>1</m:t>
        </m:r>
        <m:r>
          <m:t>,</m:t>
        </m:r>
        <m:r>
          <m:t>n</m:t>
        </m:r>
        <m:r>
          <m:t>=</m:t>
        </m:r>
        <m:r>
          <m:t>337</m:t>
        </m:r>
        <m:r>
          <m:t>)</m:t>
        </m:r>
        <m:r>
          <m:t>=</m:t>
        </m:r>
        <m:r>
          <m:t>112.81</m:t>
        </m:r>
      </m:oMath>
      <w:r>
        <w:t xml:space="preserve">,</w:t>
      </w:r>
      <w:r>
        <w:t xml:space="preserve"> </w:t>
      </w:r>
      <m:oMath>
        <m:r>
          <m:t>p</m:t>
        </m:r>
        <m:r>
          <m:t>&lt;</m:t>
        </m:r>
        <m:r>
          <m:t>.001</m:t>
        </m:r>
      </m:oMath>
      <w:r>
        <w:t xml:space="preserve">, and there were no significant gender differences in these perceptions,</w:t>
      </w:r>
      <w:r>
        <w:t xml:space="preserve"> </w:t>
      </w:r>
      <m:oMath>
        <m:sSup>
          <m:e>
            <m:r>
              <m:t>χ</m:t>
            </m:r>
          </m:e>
          <m:sup>
            <m:r>
              <m:t>2</m:t>
            </m:r>
          </m:sup>
        </m:sSup>
        <m:r>
          <m:t>(</m:t>
        </m:r>
        <m:r>
          <m:t>1</m:t>
        </m:r>
        <m:r>
          <m:t>,</m:t>
        </m:r>
        <m:r>
          <m:t>n</m:t>
        </m:r>
        <m:r>
          <m:t>=</m:t>
        </m:r>
        <m:r>
          <m:t>337</m:t>
        </m:r>
        <m:r>
          <m:t>)</m:t>
        </m:r>
        <m:r>
          <m:t>=</m:t>
        </m:r>
        <m:r>
          <m:t>2.07</m:t>
        </m:r>
      </m:oMath>
      <w:r>
        <w:t xml:space="preserve">,</w:t>
      </w:r>
      <w:r>
        <w:t xml:space="preserve"> </w:t>
      </w:r>
      <m:oMath>
        <m:r>
          <m:t>p</m:t>
        </m:r>
        <m:r>
          <m:t>=</m:t>
        </m:r>
        <m:r>
          <m:t>.150</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All hypotheses were pre-registered (</w:t>
      </w:r>
      <w:hyperlink r:id="rId21">
        <w:r>
          <w:rPr>
            <w:rStyle w:val="Hyperlink"/>
          </w:rPr>
          <w:t xml:space="preserve">https://osf.io/q39a5/</w:t>
        </w:r>
      </w:hyperlink>
      <w:r>
        <w:t xml:space="preserve">) unless otherwise stated and all analyses were conducted in 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21"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2020-09-02T15:17:50Z</dcterms:created>
  <dcterms:modified xsi:type="dcterms:W3CDTF">2020-09-02T15:17:50Z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