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r>
        <w:t xml:space="preserve"> </w:t>
      </w:r>
      <w:r>
        <w:t xml:space="preserve">methods</w:t>
      </w:r>
    </w:p>
    <w:p>
      <w:pPr>
        <w:pStyle w:val="Author"/>
      </w:pPr>
      <w:r>
        <w:t xml:space="preserve">Keana</w:t>
      </w:r>
      <w:r>
        <w:t xml:space="preserve"> </w:t>
      </w:r>
      <w:r>
        <w:t xml:space="preserve">Richards</w:t>
      </w:r>
    </w:p>
    <w:p>
      <w:pPr>
        <w:pStyle w:val="Date"/>
      </w:pPr>
      <w:r>
        <w:t xml:space="preserve">6/9/2020</w:t>
      </w:r>
    </w:p>
    <w:p>
      <w:pPr>
        <w:pStyle w:val="FirstParagraph"/>
      </w:pPr>
      <w:r>
        <w:t xml:space="preserve">INSERT: Participants’ scores on the task will be quantified as the number of questions correct within the two-minute time frame allotted, without any penalties for incorrect responses. Afterwards, participants will be informed of the number of questions they answered correctly. We do not include any information about their relative performance since we ask them to guess their relative performance in the confidence measure. Thus, participants following the tournament payment scheme will not be told whether they won, since this serves as an indicator of relative performance. We employ this strategy across all studies in this dissertation.</w:t>
      </w:r>
    </w:p>
    <w:p>
      <w:pPr>
        <w:pStyle w:val="BodyText"/>
      </w:pPr>
      <w:r>
        <w:t xml:space="preserve">POSSIBLY INSERT:</w:t>
      </w:r>
      <w:r>
        <w:t xml:space="preserve"> </w:t>
      </w:r>
      <w:r>
        <w:t xml:space="preserve">After completing the task, participants will complete a series of measures to be used for exploratory analyses. All questions will be counterbalanced. A confidence measure will incentivize participants to guess their relative performance compared to all other participants that completed the task by indicating the decile of their score relative to other participants. If correct, participants will earn $.25. We use a measure of relative performance, rather than a measure of absolute performance (e.g., asking participants to guess their score on the task) because perceptions of relative performance will likely be predictive of the choice to practice, especially when an individual is required to compete. The confidence measure draws from previous research</w:t>
      </w:r>
      <w:r>
        <w:t xml:space="preserve"> </w:t>
      </w:r>
      <w:r>
        <w:t xml:space="preserve">[@Niederle2007]</w:t>
      </w:r>
      <w:r>
        <w:t xml:space="preserve">, but instead of asking participants to indicate whether they won against a randomly selected opponent, we ask them to guess their relative decile to provide us with more information about their relative confidence. Given the difficulty of guessing one’s exact percentile without any information about other participants, deciles are used rather than percentiles to make earning the bonus seem more achievable. Also, the item will be phrased so participants do not need to understand the word</w:t>
      </w:r>
      <w:r>
        <w:t xml:space="preserve"> </w:t>
      </w:r>
      <w:r>
        <w:t xml:space="preserve">“</w:t>
      </w:r>
      <w:r>
        <w:t xml:space="preserve">decile,</w:t>
      </w:r>
      <w:r>
        <w:t xml:space="preserve">”</w:t>
      </w:r>
      <w:r>
        <w:t xml:space="preserve"> </w:t>
      </w:r>
      <w:r>
        <w:t xml:space="preserve">but will be asked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Since task-specific confidence measures tend to be better predictors of behavior than general measures of confidence</w:t>
      </w:r>
      <w:r>
        <w:t xml:space="preserve"> </w:t>
      </w:r>
      <w:r>
        <w:t xml:space="preserve">[see @Oney2015 for review]</w:t>
      </w:r>
      <w:r>
        <w:t xml:space="preserve">, the confidence measure assesses participants’ beliefs within the context of the task used. We will also measure risk attitude by asking participants to indicate on a 0-10 scale</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[@Dohmen2011b]</w:t>
      </w:r>
      <w:r>
        <w:t xml:space="preserve">. There is evidence that risky behavior (i.e., lottery choices) is strongly associated with the risk measure included in the current proposal</w:t>
      </w:r>
      <w:r>
        <w:t xml:space="preserve"> </w:t>
      </w:r>
      <w:r>
        <w:t xml:space="preserve">[@Dohmen2011b]</w:t>
      </w:r>
      <w:r>
        <w:t xml:space="preserve">. Additionally, risk attitude tends to be explained by one underlying trait, with a relatively smaller amount of variation in risk attitude explained by context (e.g., risk attitude during career, health, or financial decisions). Thus, across contexts, risk attitude is likely to be stable and predictive of behavior</w:t>
      </w:r>
      <w:r>
        <w:t xml:space="preserve"> </w:t>
      </w:r>
      <w:r>
        <w:t xml:space="preserve">[@Dohmen2011b]</w:t>
      </w:r>
      <w:r>
        <w:t xml:space="preserve">. These measures are included after completing the task largely because the confidence measure requires participants to state their perceived relative performance on the task.</w:t>
      </w:r>
    </w:p>
    <w:p>
      <w:pPr>
        <w:pStyle w:val="BodyText"/>
      </w:pPr>
      <w:r>
        <w:t xml:space="preserve">Participants on Amazon Mechanical Turk who opted into the study had to pass several screening questions. Specifically, participants included in the paid portion of the study had to (i) identify their nationality as American and live in the United States, (ii) identify as a man or a woman,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 women), with an average age of 37.74 (</w:t>
      </w:r>
      <w:r>
        <w:rPr>
          <w:iCs/>
          <w:i/>
        </w:rPr>
        <w:t xml:space="preserve">SD</w:t>
      </w:r>
      <w:r>
        <w:t xml:space="preserve"> </w:t>
      </w:r>
      <w:r>
        <w:t xml:space="preserve">= 13.19) years. 54 participants (53.7% women) dropped out of the study before finishing and we use their data when available.</w:t>
      </w:r>
    </w:p>
    <w:p>
      <w:pPr>
        <w:pStyle w:val="BodyText"/>
      </w:pPr>
      <w:r>
        <w:t xml:space="preserve">Participants were told they would be completing a timed multiplication task where they could choose how they would be paid for their performance. We chose a multiplication task because we expected participants’ performance to improve with practice. Indeed, research suggests that rehearsing and recalling associative memories can speed up retrieval of those memories</w:t>
      </w:r>
      <w:r>
        <w:t xml:space="preserve"> </w:t>
      </w:r>
      <w:r>
        <w:t xml:space="preserve">[@Rundus1971]</w:t>
      </w:r>
      <w:r>
        <w:t xml:space="preserv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Participants in the</w:t>
      </w:r>
      <w:r>
        <w:t xml:space="preserve"> </w:t>
      </w:r>
      <w:r>
        <w:t xml:space="preserve">“</w:t>
      </w:r>
      <w:r>
        <w:t xml:space="preserve">knowledge of preparation</w:t>
      </w:r>
      <w:r>
        <w:t xml:space="preserve">”</w:t>
      </w:r>
      <w:r>
        <w:t xml:space="preserve"> </w:t>
      </w:r>
      <w:r>
        <w:t xml:space="preserve">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An equal number of participants were assigned to both conditions (control= 50%). Of the men who completed the study, 49.59% were randomly assigned to the control condition. Of the women who completed the study, 49.29% were randomly assigned to the control condition,</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0.00</m:t>
        </m:r>
      </m:oMath>
      <w:r>
        <w:t xml:space="preserve">,</w:t>
      </w:r>
      <w:r>
        <w:t xml:space="preserve"> </w:t>
      </w:r>
      <m:oMath>
        <m:r>
          <m:t>p</m:t>
        </m:r>
        <m:r>
          <m:rPr>
            <m:sty m:val="p"/>
          </m:rPr>
          <m:t>&gt;</m:t>
        </m:r>
        <m:r>
          <m:t>.999</m:t>
        </m:r>
      </m:oMath>
      <w:r>
        <w:t xml:space="preserve">.</w:t>
      </w:r>
    </w:p>
    <w:p>
      <w:pPr>
        <w:pStyle w:val="BodyText"/>
      </w:pPr>
      <w:r>
        <w:t xml:space="preserve">Then, all participants were asked to choose how they wanted to be paid. They were given two options, either a piece-rate payment scheme or a tournament payment scheme. They first read a description of each payment scheme, and had to correctly answer three comprehension questions before making their selection.</w:t>
      </w:r>
    </w:p>
    <w:p>
      <w:pPr>
        <w:pStyle w:val="BodyText"/>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The order of presentation of the tournament and piece-rate payment options was randomized for participants. Participants in the experimental condition were reminded that they had the option to prepare before completing the task. After choosing a payment scheme, participants in both conditions were given an opportunity to prepare before the multiplication task. If they chose not to prepare, they proceeded to the timed multiplication task. If they chose to prepare, participants were presented with each multiplication table, 1 through 12, in sequential order. Each multiplication table provided products of numbers up to 12. Thus, participants could use the tables to study. Additionally, participants were asked if they wanted to complete practice problems for each times table. If they said yes, participants were asked to solve all multiples in that table and could only proceed to the next table if they answered all the questions correctly. 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We originally pre-registered that we would use time spend preparing as a secondary dependent variable of interest outside of the choice to prepare. However, upon reflection, we decided to use a different measure, extra number of practice rounds completed (0.58, 1.99), which was collected in the Qualtrics survey instead of the time preparing variable. We decided against using time spent preparing as a secondary dependent variable because of concerns that we were not able to monitor whether participants were actually practicing during that time or were doing other activities, making interpretation of any significant gender differences in the results difficult. For instance, gender differences may arise if women (or men) on MTurk are more likely to be interrupted by other family members while they are working on the computer in general, rather than because of gender differences in desire to prepare. With the number of rounds preparing variable, participants had to make the conscious decision to continue preparing by clicking the</w:t>
      </w:r>
      <w:r>
        <w:t xml:space="preserve"> </w:t>
      </w:r>
      <w:r>
        <w:t xml:space="preserve">“</w:t>
      </w:r>
      <w:r>
        <w:t xml:space="preserve">Yes</w:t>
      </w:r>
      <w:r>
        <w:t xml:space="preserve">”</w:t>
      </w:r>
      <w:r>
        <w:t xml:space="preserve"> </w:t>
      </w:r>
      <w:r>
        <w:t xml:space="preserve">button every time they wanted to complete a new round of preparation. This variable was encoded as follows: if participants did not chose to practice at all, chose to practice but did not practice thereafter (that is, they said no to each times table), or if they chose to practice but only saw one round of practice, they had a zero for this variable, whereas participants who said they wanted to practice again after having completed at least one round of practice had a value of one for this variable. For each additional round of practice participants completed thereafter, the variable increased incrementally by one.</w:t>
      </w:r>
    </w:p>
    <w:p>
      <w:pPr>
        <w:pStyle w:val="BodyText"/>
      </w:pPr>
      <w:r>
        <w:t xml:space="preserve">Overall,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 The number of extra practice rounds serves as a way to quantify the number of times participants continue to practice after having seen what the practicing/studying looks like and having gone through it at least once. By encoding participants who both chose not to practice and those who chose not to continue practicing after the first round of practice with zeroes in the dataset when creating this variable, we are able to separate out the effect of the choice to practice from the choice to continue practicing.</w:t>
      </w:r>
    </w:p>
    <w:p>
      <w:pPr>
        <w:pStyle w:val="BodyText"/>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measures of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w:t>
      </w:r>
      <w:r>
        <w:t xml:space="preserve"> </w:t>
      </w:r>
      <w:r>
        <w:t xml:space="preserve">“</w:t>
      </w:r>
      <w:r>
        <w:t xml:space="preserve">decile,</w:t>
      </w:r>
      <w:r>
        <w:t xml:space="preserve">”</w:t>
      </w:r>
      <w:r>
        <w:t xml:space="preserve"> </w:t>
      </w:r>
      <w:r>
        <w:t xml:space="preserve">but were asked instead: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Participants were also asked to correctly predict whether men or women 1) correctly solved more problems 2) spent more time practicing before completing the multiplication task, and 3) chose the tournament payment option more. An additional question about perceptions of general gender differences in willingness to prepare that was not incentivized was included after participants respond to the incentivized questions:</w:t>
      </w:r>
      <w:r>
        <w:t xml:space="preserve"> </w:t>
      </w:r>
      <w:r>
        <w:t xml:space="preserve">“</w:t>
      </w:r>
      <w:r>
        <w:t xml:space="preserve">For most tasks, do you think men or women generally prepare (i.e., practice and/or study) more?</w:t>
      </w:r>
      <w:r>
        <w:t xml:space="preserve">”</w:t>
      </w:r>
    </w:p>
    <w:p>
      <w:pPr>
        <w:pStyle w:val="BodyText"/>
      </w:pPr>
      <w:r>
        <w:t xml:space="preserve">Finally, participants completed a measure of risk aversion, where they answered if they generally are willing to take risks or try to avoid taking risks</w:t>
      </w:r>
      <w:r>
        <w:t xml:space="preserve"> </w:t>
      </w:r>
      <w:r>
        <w:t xml:space="preserve">[@Dohmen2011]</w:t>
      </w:r>
      <w:r>
        <w:t xml:space="preserve"> </w:t>
      </w:r>
      <w:r>
        <w:t xml:space="preserve">on a 10-point scale with 0 meaning participants are</w:t>
      </w:r>
      <w:r>
        <w:t xml:space="preserve"> </w:t>
      </w:r>
      <w:r>
        <w:t xml:space="preserve">“</w:t>
      </w:r>
      <w:r>
        <w:t xml:space="preserve">Not at all willing to take risks</w:t>
      </w:r>
      <w:r>
        <w:t xml:space="preserve">”</w:t>
      </w:r>
      <w:r>
        <w:t xml:space="preserve"> </w:t>
      </w:r>
      <w:r>
        <w:t xml:space="preserve">and 10 indicating participants are</w:t>
      </w:r>
      <w:r>
        <w:t xml:space="preserve"> </w:t>
      </w:r>
      <w:r>
        <w:t xml:space="preserve">“</w:t>
      </w:r>
      <w:r>
        <w:t xml:space="preserve">Very willing to take risks.</w:t>
      </w:r>
      <w:r>
        <w:t xml:space="preserve">”</w:t>
      </w:r>
      <w:r>
        <w:t xml:space="preserve"> </w:t>
      </w:r>
      <w:r>
        <w:t xml:space="preserve">To determine whether participants used additional tools to improve their performance on the task, we also asked participants about their use of calculators and perceptions of calculator use on the multiplication task. Neither of these measures was incentivized.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 methods</dc:title>
  <dc:creator>Keana Richards</dc:creator>
  <cp:keywords/>
  <dcterms:created xsi:type="dcterms:W3CDTF">2022-03-28T00:53:49Z</dcterms:created>
  <dcterms:modified xsi:type="dcterms:W3CDTF">2022-03-28T00:53:49Z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