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0" w:name="summary"/>
      <w:r>
        <w:t xml:space="preserve">Summary</w:t>
      </w:r>
      <w:bookmarkEnd w:id="20"/>
    </w:p>
    <w:p>
      <w:pPr>
        <w:pStyle w:val="FirstParagraph"/>
      </w:pPr>
      <w:r>
        <w:t xml:space="preserve">All hypotheses were</w:t>
      </w:r>
      <w:r>
        <w:t xml:space="preserve"> </w:t>
      </w:r>
      <w:hyperlink r:id="rId21">
        <w:r>
          <w:rPr>
            <w:rStyle w:val="Hyperlink"/>
          </w:rPr>
          <w:t xml:space="preserve">pre-registered</w:t>
        </w:r>
      </w:hyperlink>
      <w:r>
        <w:t xml:space="preserve"> </w:t>
      </w:r>
      <w:r>
        <w:t xml:space="preserve">unless otherwise stated and all analyses were conducted in R. We first examined whether gender was balanced across conditions. 50.49% of men and 49.52% of women were assigned to the control condition, while 49.51% of men and 50.48% of women were assigned to the practice condition, for a total of 50% of participants assigned to the control condition and 50% of participants assigned to the practice condition.</w:t>
      </w:r>
    </w:p>
    <w:p>
      <w:pPr>
        <w:pStyle w:val="BodyText"/>
      </w:pPr>
      <w:r>
        <w:t xml:space="preserve">We replicated the effect of gender on the choice to compete: 19.92% of men chose to compete compared to 13.1% of women. However, our primary hypothesis women would be more likely to compete in the preparation condition was not supported (see Figure</w:t>
      </w:r>
      <w:r>
        <w:t xml:space="preserve"> </w:t>
      </w:r>
      <w:r>
        <w:t xml:space="preserve">1</w:t>
      </w:r>
      <w:r>
        <w:t xml:space="preserve">).</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5</w:t>
      </w:r>
      <w:r>
        <w:t xml:space="preserve">).</w:t>
      </w:r>
    </w:p>
    <w:p>
      <w:pPr>
        <w:pStyle w:val="Heading3"/>
      </w:pPr>
      <w:bookmarkStart w:id="22" w:name="pre-registered-analyses"/>
      <w:r>
        <w:t xml:space="preserve">Pre-registered analyses</w:t>
      </w:r>
      <w:bookmarkEnd w:id="22"/>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-0.87,</w:t>
      </w:r>
      <w:r>
        <w:t xml:space="preserve"> </w:t>
      </w:r>
      <w:r>
        <w:rPr>
          <w:i/>
        </w:rPr>
        <w:t xml:space="preserve">p</w:t>
      </w:r>
      <w:r>
        <w:t xml:space="preserve"> </w:t>
      </w:r>
      <w:r>
        <w:t xml:space="preserve">= 0.19 (see Figure</w:t>
      </w:r>
      <w:r>
        <w:t xml:space="preserve"> </w:t>
      </w:r>
      <w:r>
        <w:t xml:space="preserve">1</w:t>
      </w:r>
      <w:r>
        <w:t xml:space="preserve">).</w:t>
      </w:r>
    </w:p>
    <w:p>
      <w:pPr>
        <w:pStyle w:val="CaptionedFigure"/>
      </w:pPr>
      <w:r>
        <w:drawing>
          <wp:inline>
            <wp:extent cx="5334000" cy="5334000"/>
            <wp:effectExtent b="0" l="0" r="0" t="0"/>
            <wp:docPr descr="Figure 1: 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0_comp-choice-women-by-cond.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female participants who chose to compete based on condition. Error bars represent standard error.</w:t>
      </w:r>
    </w:p>
    <w:p>
      <w:pPr>
        <w:pStyle w:val="BodyText"/>
      </w:pPr>
      <w:r>
        <w:t xml:space="preserve">Cross-Tabulation, Row Proportions</w:t>
      </w:r>
      <w:r>
        <w:br/>
      </w:r>
      <w:r>
        <w:t xml:space="preserve">comp_choice * condition</w:t>
      </w:r>
      <w:r>
        <w:br/>
      </w:r>
      <w:r>
        <w:t xml:space="preserve">Data Frame: woman</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comp_choice</w:t>
            </w:r>
          </w:p>
        </w:tc>
        <w:tc>
          <w:p/>
        </w:tc>
        <w:tc>
          <w:p/>
        </w:tc>
        <w:tc>
          <w:p/>
        </w:tc>
        <w:tc>
          <w:p/>
        </w:tc>
      </w:tr>
      <w:tr>
        <w:tc>
          <w:p>
            <w:pPr>
              <w:pStyle w:val="Compact"/>
              <w:jc w:val="left"/>
            </w:pPr>
            <w:r>
              <w:t xml:space="preserve">piecerate</w:t>
            </w:r>
          </w:p>
        </w:tc>
        <w:tc>
          <w:p/>
        </w:tc>
        <w:tc>
          <w:p>
            <w:pPr>
              <w:pStyle w:val="Compact"/>
              <w:jc w:val="right"/>
            </w:pPr>
            <w:r>
              <w:t xml:space="preserve">220 (48.8%)</w:t>
            </w:r>
          </w:p>
        </w:tc>
        <w:tc>
          <w:p>
            <w:pPr>
              <w:pStyle w:val="Compact"/>
              <w:jc w:val="right"/>
            </w:pPr>
            <w:r>
              <w:t xml:space="preserve">231 (51.2%)</w:t>
            </w:r>
          </w:p>
        </w:tc>
        <w:tc>
          <w:p>
            <w:pPr>
              <w:pStyle w:val="Compact"/>
              <w:jc w:val="right"/>
            </w:pPr>
            <w:r>
              <w:t xml:space="preserve">451 (100.0%)</w:t>
            </w:r>
          </w:p>
        </w:tc>
      </w:tr>
      <w:tr>
        <w:tc>
          <w:p>
            <w:pPr>
              <w:pStyle w:val="Compact"/>
              <w:jc w:val="left"/>
            </w:pPr>
            <w:r>
              <w:t xml:space="preserve">tournament</w:t>
            </w:r>
          </w:p>
        </w:tc>
        <w:tc>
          <w:p/>
        </w:tc>
        <w:tc>
          <w:p>
            <w:pPr>
              <w:pStyle w:val="Compact"/>
              <w:jc w:val="right"/>
            </w:pPr>
            <w:r>
              <w:t xml:space="preserve">37 (54.4%)</w:t>
            </w:r>
          </w:p>
        </w:tc>
        <w:tc>
          <w:p>
            <w:pPr>
              <w:pStyle w:val="Compact"/>
              <w:jc w:val="right"/>
            </w:pPr>
            <w:r>
              <w:t xml:space="preserve">31 (45.6%)</w:t>
            </w:r>
          </w:p>
        </w:tc>
        <w:tc>
          <w:p>
            <w:pPr>
              <w:pStyle w:val="Compact"/>
              <w:jc w:val="right"/>
            </w:pPr>
            <w:r>
              <w:t xml:space="preserve">68 (100.0%)</w:t>
            </w:r>
          </w:p>
        </w:tc>
      </w:tr>
      <w:tr>
        <w:tc>
          <w:p>
            <w:pPr>
              <w:pStyle w:val="Compact"/>
              <w:jc w:val="left"/>
            </w:pPr>
            <w:r>
              <w:t xml:space="preserve">Total</w:t>
            </w:r>
          </w:p>
        </w:tc>
        <w:tc>
          <w:p/>
        </w:tc>
        <w:tc>
          <w:p>
            <w:pPr>
              <w:pStyle w:val="Compact"/>
              <w:jc w:val="right"/>
            </w:pPr>
            <w:r>
              <w:t xml:space="preserve">257 (49.5%)</w:t>
            </w:r>
          </w:p>
        </w:tc>
        <w:tc>
          <w:p>
            <w:pPr>
              <w:pStyle w:val="Compact"/>
              <w:jc w:val="right"/>
            </w:pPr>
            <w:r>
              <w:t xml:space="preserve">262 (50.5%)</w:t>
            </w:r>
          </w:p>
        </w:tc>
        <w:tc>
          <w:p>
            <w:pPr>
              <w:pStyle w:val="Compact"/>
              <w:jc w:val="right"/>
            </w:pPr>
            <w:r>
              <w:t xml:space="preserve">519 (100.0%)</w:t>
            </w:r>
          </w:p>
        </w:tc>
      </w:tr>
    </w:tbl>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1026</m:t>
        </m:r>
        <m:r>
          <m:t>)</m:t>
        </m:r>
        <m:r>
          <m:t>=</m:t>
        </m:r>
        <m:r>
          <m:t>0.56</m:t>
        </m:r>
      </m:oMath>
      <w:r>
        <w:t xml:space="preserve">,</w:t>
      </w:r>
      <w:r>
        <w:t xml:space="preserve"> </w:t>
      </w:r>
      <m:oMath>
        <m:r>
          <m:t>p</m:t>
        </m:r>
        <m:r>
          <m:t>=</m:t>
        </m:r>
        <m:r>
          <m:t>.454</m:t>
        </m:r>
      </m:oMath>
      <w:r>
        <w:t xml:space="preserve"> </w:t>
      </w:r>
      <w:r>
        <w:t xml:space="preserve">(see Figure</w:t>
      </w:r>
      <w:r>
        <w:t xml:space="preserve"> </w:t>
      </w:r>
      <w:r>
        <w:t xml:space="preserve">2</w:t>
      </w:r>
      <w:r>
        <w:t xml:space="preserve">).</w:t>
      </w:r>
    </w:p>
    <w:p>
      <w:pPr>
        <w:pStyle w:val="CaptionedFigure"/>
      </w:pPr>
      <w:r>
        <w:drawing>
          <wp:inline>
            <wp:extent cx="5334000" cy="5334000"/>
            <wp:effectExtent b="0" l="0" r="0" t="0"/>
            <wp:docPr descr="Figure 2: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1_better-gender-guess.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Participants’ perceptions of gender differences in performance on the task. Error bars represent standard error.</w:t>
      </w:r>
    </w:p>
    <w:p>
      <w:pPr>
        <w:pStyle w:val="BodyText"/>
      </w:pPr>
      <w:r>
        <w:t xml:space="preserve">Cross-Tabulation, Row Proportions</w:t>
      </w:r>
      <w:r>
        <w:br/>
      </w:r>
      <w:r>
        <w:t xml:space="preserve">gender * better_gender_guess</w:t>
      </w:r>
      <w:r>
        <w:br/>
      </w:r>
      <w:r>
        <w:t xml:space="preserve">Data Frame: clean</w:t>
      </w:r>
    </w:p>
    <w:tbl>
      <w:tblPr>
        <w:tblStyle w:val="Table"/>
        <w:tblW w:type="pct" w:w="0.0"/>
        <w:tblLook w:firstRow="0"/>
      </w:tblPr>
      <w:tblGrid/>
      <w:tr>
        <w:tc>
          <w:p/>
        </w:tc>
        <w:tc>
          <w:p>
            <w:pPr>
              <w:pStyle w:val="Compact"/>
              <w:jc w:val="right"/>
            </w:pPr>
            <w:r>
              <w:t xml:space="preserve">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289 (57.0%)</w:t>
            </w:r>
          </w:p>
        </w:tc>
        <w:tc>
          <w:p>
            <w:pPr>
              <w:pStyle w:val="Compact"/>
              <w:jc w:val="right"/>
            </w:pPr>
            <w:r>
              <w:t xml:space="preserve">218 (43.0%)</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212 (40.8%)</w:t>
            </w:r>
          </w:p>
        </w:tc>
        <w:tc>
          <w:p>
            <w:pPr>
              <w:pStyle w:val="Compact"/>
              <w:jc w:val="right"/>
            </w:pPr>
            <w:r>
              <w:t xml:space="preserve">307 (59.2%)</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501 (48.8%)</w:t>
            </w:r>
          </w:p>
        </w:tc>
        <w:tc>
          <w:p>
            <w:pPr>
              <w:pStyle w:val="Compact"/>
              <w:jc w:val="right"/>
            </w:pPr>
            <w:r>
              <w:t xml:space="preserve">525 (51.2%)</w:t>
            </w:r>
          </w:p>
        </w:tc>
        <w:tc>
          <w:p>
            <w:pPr>
              <w:pStyle w:val="Compact"/>
              <w:jc w:val="right"/>
            </w:pPr>
            <w:r>
              <w:t xml:space="preserve">1026 (100.0%)</w:t>
            </w:r>
          </w:p>
        </w:tc>
      </w:tr>
    </w:tbl>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1026</m:t>
        </m:r>
        <m:r>
          <m:t>)</m:t>
        </m:r>
        <m:r>
          <m:t>=</m:t>
        </m:r>
        <m:r>
          <m:t>577.88</m:t>
        </m:r>
      </m:oMath>
      <w:r>
        <w:t xml:space="preserve">,</w:t>
      </w:r>
      <w:r>
        <w:t xml:space="preserve"> </w:t>
      </w:r>
      <m:oMath>
        <m:r>
          <m:t>p</m:t>
        </m:r>
        <m:r>
          <m:t>&lt;</m:t>
        </m:r>
        <m:r>
          <m:t>.001</m:t>
        </m:r>
      </m:oMath>
      <w:r>
        <w:t xml:space="preserve"> </w:t>
      </w:r>
      <w:r>
        <w:t xml:space="preserve">(see Figure</w:t>
      </w:r>
      <w:r>
        <w:t xml:space="preserve"> </w:t>
      </w:r>
      <w:r>
        <w:t xml:space="preserve">3</w:t>
      </w:r>
      <w:r>
        <w:t xml:space="preserve">).</w:t>
      </w:r>
    </w:p>
    <w:p>
      <w:pPr>
        <w:pStyle w:val="CaptionedFigure"/>
      </w:pPr>
      <w:r>
        <w:drawing>
          <wp:inline>
            <wp:extent cx="5334000" cy="5334000"/>
            <wp:effectExtent b="0" l="0" r="0" t="0"/>
            <wp:docPr descr="Figure 3: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2_perc-gender-comp.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Participants’ perceptions of gender differences in choice to compete. Error bars represent standard error.</w:t>
      </w:r>
    </w:p>
    <w:p>
      <w:pPr>
        <w:pStyle w:val="BodyText"/>
      </w:pPr>
      <w:r>
        <w:t xml:space="preserve">Cross-Tabulation, Row Proportions</w:t>
      </w:r>
      <w:r>
        <w:br/>
      </w:r>
      <w:r>
        <w:t xml:space="preserve">gender * perc_gender_comp</w:t>
      </w:r>
      <w:r>
        <w:br/>
      </w:r>
      <w:r>
        <w:t xml:space="preserve">Data Frame: clean</w:t>
      </w:r>
    </w:p>
    <w:tbl>
      <w:tblPr>
        <w:tblStyle w:val="Table"/>
        <w:tblW w:type="pct" w:w="0.0"/>
        <w:tblLook w:firstRow="0"/>
      </w:tblPr>
      <w:tblGrid/>
      <w:tr>
        <w:tc>
          <w:p/>
        </w:tc>
        <w:tc>
          <w:p>
            <w:pPr>
              <w:pStyle w:val="Compact"/>
              <w:jc w:val="right"/>
            </w:pPr>
            <w:r>
              <w:t xml:space="preserve">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457 (90.1%)</w:t>
            </w:r>
          </w:p>
        </w:tc>
        <w:tc>
          <w:p>
            <w:pPr>
              <w:pStyle w:val="Compact"/>
              <w:jc w:val="right"/>
            </w:pPr>
            <w:r>
              <w:t xml:space="preserve">50 ( 9.9%)</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441 (85.0%)</w:t>
            </w:r>
          </w:p>
        </w:tc>
        <w:tc>
          <w:p>
            <w:pPr>
              <w:pStyle w:val="Compact"/>
              <w:jc w:val="right"/>
            </w:pPr>
            <w:r>
              <w:t xml:space="preserve">78 (15.0%)</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898 (87.5%)</w:t>
            </w:r>
          </w:p>
        </w:tc>
        <w:tc>
          <w:p>
            <w:pPr>
              <w:pStyle w:val="Compact"/>
              <w:jc w:val="right"/>
            </w:pPr>
            <w:r>
              <w:t xml:space="preserve">128 (12.5%)</w:t>
            </w:r>
          </w:p>
        </w:tc>
        <w:tc>
          <w:p>
            <w:pPr>
              <w:pStyle w:val="Compact"/>
              <w:jc w:val="right"/>
            </w:pPr>
            <w:r>
              <w:t xml:space="preserve">1026 (100.0%)</w:t>
            </w:r>
          </w:p>
        </w:tc>
      </w:tr>
    </w:tbl>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1026</m:t>
        </m:r>
        <m:r>
          <m:t>)</m:t>
        </m:r>
        <m:r>
          <m:t>=</m:t>
        </m:r>
        <m:r>
          <m:t>513.72</m:t>
        </m:r>
      </m:oMath>
      <w:r>
        <w:t xml:space="preserve">,</w:t>
      </w:r>
      <w:r>
        <w:t xml:space="preserve"> </w:t>
      </w:r>
      <m:oMath>
        <m:r>
          <m:t>p</m:t>
        </m:r>
        <m:r>
          <m:t>&lt;</m:t>
        </m:r>
        <m:r>
          <m:t>.001</m:t>
        </m:r>
      </m:oMath>
      <w:r>
        <w:t xml:space="preserve"> </w:t>
      </w:r>
      <w:r>
        <w:t xml:space="preserve">(see Figure</w:t>
      </w:r>
      <w:r>
        <w:t xml:space="preserve"> </w:t>
      </w:r>
      <w:r>
        <w:t xml:space="preserve">4</w:t>
      </w:r>
      <w:r>
        <w:t xml:space="preserve">).</w:t>
      </w:r>
    </w:p>
    <w:p>
      <w:pPr>
        <w:pStyle w:val="CaptionedFigure"/>
      </w:pPr>
      <w:r>
        <w:drawing>
          <wp:inline>
            <wp:extent cx="5334000" cy="5334000"/>
            <wp:effectExtent b="0" l="0" r="0" t="0"/>
            <wp:docPr descr="Figure 4: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3_perc-gen-gender-prac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Participants’ perceptions of general gender differences in choice to practice. Error bars represent standard error.</w:t>
      </w:r>
    </w:p>
    <w:p>
      <w:pPr>
        <w:pStyle w:val="BodyText"/>
      </w:pPr>
      <w:r>
        <w:t xml:space="preserve">Cross-Tabulation, Row Proportions</w:t>
      </w:r>
      <w:r>
        <w:br/>
      </w:r>
      <w:r>
        <w:t xml:space="preserve">gender * perc_gen_gender_pract</w:t>
      </w:r>
      <w:r>
        <w:br/>
      </w:r>
      <w:r>
        <w:t xml:space="preserve">Data Frame: clean</w:t>
      </w:r>
    </w:p>
    <w:tbl>
      <w:tblPr>
        <w:tblStyle w:val="Table"/>
        <w:tblW w:type="pct" w:w="0.0"/>
        <w:tblLook w:firstRow="0"/>
      </w:tblPr>
      <w:tblGrid/>
      <w:tr>
        <w:tc>
          <w:p/>
        </w:tc>
        <w:tc>
          <w:p>
            <w:pPr>
              <w:pStyle w:val="Compact"/>
              <w:jc w:val="right"/>
            </w:pPr>
            <w:r>
              <w:t xml:space="preserve">perc_gen_gender_pract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109 (21.5%)</w:t>
            </w:r>
          </w:p>
        </w:tc>
        <w:tc>
          <w:p>
            <w:pPr>
              <w:pStyle w:val="Compact"/>
              <w:jc w:val="right"/>
            </w:pPr>
            <w:r>
              <w:t xml:space="preserve">398 (78.5%)</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41 ( 7.9%)</w:t>
            </w:r>
          </w:p>
        </w:tc>
        <w:tc>
          <w:p>
            <w:pPr>
              <w:pStyle w:val="Compact"/>
              <w:jc w:val="right"/>
            </w:pPr>
            <w:r>
              <w:t xml:space="preserve">478 (92.1%)</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150 (14.6%)</w:t>
            </w:r>
          </w:p>
        </w:tc>
        <w:tc>
          <w:p>
            <w:pPr>
              <w:pStyle w:val="Compact"/>
              <w:jc w:val="right"/>
            </w:pPr>
            <w:r>
              <w:t xml:space="preserve">876 (85.4%)</w:t>
            </w:r>
          </w:p>
        </w:tc>
        <w:tc>
          <w:p>
            <w:pPr>
              <w:pStyle w:val="Compact"/>
              <w:jc w:val="right"/>
            </w:pPr>
            <w:r>
              <w:t xml:space="preserve">1026 (100.0%)</w:t>
            </w:r>
          </w:p>
        </w:tc>
      </w:tr>
    </w:tbl>
    <w:p>
      <w:pPr>
        <w:pStyle w:val="Heading3"/>
      </w:pPr>
      <w:bookmarkStart w:id="27" w:name="exploratory-analyses"/>
      <w:r>
        <w:t xml:space="preserve">Exploratory analyses</w:t>
      </w:r>
      <w:bookmarkEnd w:id="27"/>
    </w:p>
    <w:p>
      <w:pPr>
        <w:pStyle w:val="FirstParagraph"/>
      </w:pPr>
      <w:r>
        <w:t xml:space="preserve">Exploratory analysis 1: Women were 19.59% more likely to take advantage of the opportunity to prepare relative to men</w:t>
      </w:r>
      <w:r>
        <w:t xml:space="preserve"> </w:t>
      </w:r>
      <m:oMath>
        <m:r>
          <m:t>b</m:t>
        </m:r>
        <m:r>
          <m:t>=</m:t>
        </m:r>
        <m:r>
          <m:t>0.18</m:t>
        </m:r>
      </m:oMath>
      <w:r>
        <w:t xml:space="preserve">, 95% CI</w:t>
      </w:r>
      <w:r>
        <w:t xml:space="preserve"> </w:t>
      </w:r>
      <m:oMath>
        <m:r>
          <m:t>[</m:t>
        </m:r>
        <m:r>
          <m:t>0.01</m:t>
        </m:r>
      </m:oMath>
      <w:r>
        <w:t xml:space="preserve">,</w:t>
      </w:r>
      <w:r>
        <w:t xml:space="preserve"> </w:t>
      </w:r>
      <m:oMath>
        <m:r>
          <m:t>0.35</m:t>
        </m:r>
        <m:r>
          <m:t>]</m:t>
        </m:r>
      </m:oMath>
      <w:r>
        <w:t xml:space="preserve">,</w:t>
      </w:r>
      <w:r>
        <w:t xml:space="preserve"> </w:t>
      </w:r>
      <m:oMath>
        <m:r>
          <m:t>z</m:t>
        </m:r>
        <m:r>
          <m:t>=</m:t>
        </m:r>
        <m:r>
          <m:t>2.05</m:t>
        </m:r>
      </m:oMath>
      <w:r>
        <w:t xml:space="preserve">,</w:t>
      </w:r>
      <w:r>
        <w:t xml:space="preserve"> </w:t>
      </w:r>
      <m:oMath>
        <m:r>
          <m:t>p</m:t>
        </m:r>
        <m:r>
          <m:t>=</m:t>
        </m:r>
        <m:r>
          <m:t>.040</m:t>
        </m:r>
      </m:oMath>
      <w:r>
        <w:t xml:space="preserve">, while controlling for the decision to compete (see Figure</w:t>
      </w:r>
      <w:r>
        <w:t xml:space="preserve"> </w:t>
      </w:r>
      <w:r>
        <w:t xml:space="preserve">5</w:t>
      </w:r>
      <w:r>
        <w:t xml:space="preserve">).</w:t>
      </w:r>
    </w:p>
    <w:p>
      <w:pPr>
        <w:pStyle w:val="CaptionedFigure"/>
      </w:pPr>
      <w:r>
        <w:drawing>
          <wp:inline>
            <wp:extent cx="5334000" cy="5334000"/>
            <wp:effectExtent b="0" l="0" r="0" t="0"/>
            <wp:docPr descr="Figure 5: 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4_total-rev-count-by-gender-comp-choice.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Gender differences in the number of extra practice rounds chosen across participants’ choice in a payment scheme. Error bars represent standard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2020-07-09T16:14:33Z</dcterms:created>
  <dcterms:modified xsi:type="dcterms:W3CDTF">2020-07-09T16:14:33Z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