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FirstParagraph"/>
      </w:pPr>
      <w:r>
        <w:t xml:space="preserve">An equal number of participants were assigned to both conditions (control= 50.05%). Of the males who completed the study, 50.09% were assigned to the control condition and of the females who completed the study, 50% were assigned to the control condition.</w:t>
      </w:r>
    </w:p>
    <w:p>
      <w:pPr>
        <w:pStyle w:val="BodyText"/>
      </w:pPr>
      <w:r>
        <w:t xml:space="preserve">We replicated the effect of gender on the choice to compete: 19.18% of men chose to compete compared to 13.43% of women. However, we do not find evidence of a significant effect of condition on the choice to compete among women,</w:t>
      </w:r>
      <w:r>
        <w:t xml:space="preserve"> </w:t>
      </w:r>
      <m:oMath>
        <m:r>
          <m:t>b</m:t>
        </m:r>
        <m:r>
          <m:rPr>
            <m:sty m:val="p"/>
          </m:rPr>
          <m:t>=</m:t>
        </m:r>
        <m:r>
          <m:rPr>
            <m:sty m:val="p"/>
          </m:rPr>
          <m:t>−</m:t>
        </m:r>
        <m:r>
          <m:t>0.29</m:t>
        </m:r>
      </m:oMath>
      <w:r>
        <w:t xml:space="preserve">, 95% CI</w:t>
      </w:r>
      <w:r>
        <w:t xml:space="preserve"> </w:t>
      </w:r>
      <m:oMath>
        <m:r>
          <m:rPr>
            <m:sty m:val="p"/>
          </m:rPr>
          <m:t>[</m:t>
        </m:r>
        <m:r>
          <m:rPr>
            <m:sty m:val="p"/>
          </m:rPr>
          <m:t>−</m:t>
        </m:r>
        <m:r>
          <m:t>0.79</m:t>
        </m:r>
      </m:oMath>
      <w:r>
        <w:t xml:space="preserve">,</w:t>
      </w:r>
      <w:r>
        <w:t xml:space="preserve"> </w:t>
      </w:r>
      <m:oMath>
        <m:r>
          <m:t>0.21</m:t>
        </m:r>
        <m:r>
          <m:rPr>
            <m:sty m:val="p"/>
          </m:rPr>
          <m:t>]</m:t>
        </m:r>
      </m:oMath>
      <w:r>
        <w:t xml:space="preserve">,</w:t>
      </w:r>
      <w:r>
        <w:t xml:space="preserve"> </w:t>
      </w:r>
      <m:oMath>
        <m:r>
          <m:t>z</m:t>
        </m:r>
        <m:r>
          <m:rPr>
            <m:sty m:val="p"/>
          </m:rPr>
          <m:t>=</m:t>
        </m:r>
        <m:r>
          <m:rPr>
            <m:sty m:val="p"/>
          </m:rPr>
          <m:t>−</m:t>
        </m:r>
        <m:r>
          <m:t>1.14</m:t>
        </m:r>
      </m:oMath>
      <w:r>
        <w:t xml:space="preserve">,</w:t>
      </w:r>
      <w:r>
        <w:t xml:space="preserve"> </w:t>
      </w:r>
      <m:oMath>
        <m:r>
          <m:t>p</m:t>
        </m:r>
        <m:r>
          <m:rPr>
            <m:sty m:val="p"/>
          </m:rPr>
          <m:t>=</m:t>
        </m:r>
        <m:r>
          <m:t>.255</m:t>
        </m:r>
      </m:oMath>
      <w:r>
        <w:t xml:space="preserve"> </w:t>
      </w:r>
      <w:r>
        <w:t xml:space="preserve">(see Figure</w:t>
      </w:r>
      <w:r>
        <w:t xml:space="preserve"> </w:t>
      </w:r>
      <w:r>
        <w:t xml:space="preserve">??</w:t>
      </w:r>
      <w:r>
        <w:t xml:space="preserve">), contrary to our hypotheses.</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w:t>
      </w:r>
      <w:r>
        <w:t xml:space="preserve">). Women were 18.57% more likely to take advantage of the opportunity to prepare relative to men</w:t>
      </w:r>
      <w:r>
        <w:t xml:space="preserve"> </w:t>
      </w:r>
      <m:oMath>
        <m:r>
          <m:t>b</m:t>
        </m:r>
        <m:r>
          <m:rPr>
            <m:sty m:val="p"/>
          </m:rPr>
          <m:t>=</m:t>
        </m:r>
        <m:r>
          <m:t>0.17</m:t>
        </m:r>
      </m:oMath>
      <w:r>
        <w:t xml:space="preserve">, 95% CI</w:t>
      </w:r>
      <w:r>
        <w:t xml:space="preserve"> </w:t>
      </w:r>
      <m:oMath>
        <m:r>
          <m:rPr>
            <m:sty m:val="p"/>
          </m:rPr>
          <m:t>[</m:t>
        </m:r>
        <m:r>
          <m:t>0.00</m:t>
        </m:r>
      </m:oMath>
      <w:r>
        <w:t xml:space="preserve">,</w:t>
      </w:r>
      <w:r>
        <w:t xml:space="preserve"> </w:t>
      </w:r>
      <m:oMath>
        <m:r>
          <m:t>0.34</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while controlling for the decision to compete (see Figure</w:t>
      </w:r>
      <w:r>
        <w:t xml:space="preserve"> </w:t>
      </w:r>
      <w:r>
        <w:t xml:space="preserve">??</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2022-02-11T18:02:22Z</dcterms:created>
  <dcterms:modified xsi:type="dcterms:W3CDTF">2022-02-11T18:02:22Z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