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4</w:t>
      </w:r>
      <w:r>
        <w:t xml:space="preserve"> </w:t>
      </w:r>
      <w:r>
        <w:t xml:space="preserve">methods</w:t>
      </w:r>
    </w:p>
    <w:p>
      <w:pPr>
        <w:pStyle w:val="Author"/>
      </w:pPr>
      <w:r>
        <w:t xml:space="preserve">Keana</w:t>
      </w:r>
      <w:r>
        <w:t xml:space="preserve"> </w:t>
      </w:r>
      <w:r>
        <w:t xml:space="preserve">Richards</w:t>
      </w:r>
    </w:p>
    <w:p>
      <w:pPr>
        <w:pStyle w:val="FirstParagraph"/>
      </w:pPr>
      <w:r>
        <w:t xml:space="preserve">Participants were recruited on Amazon Mechanical Turk using the same screening criteria as both Studies 1 and 2. Unlike Study 2, where we filtered out second responses based on identical IP addresses, we used Qualtrics’ fraud detection software to filter out responses that were suspicious either because they were likely 1) bots and/or 2) duplicate responses. Namely, for all pre-registered hypotheses, we will test whether the results found using the full dataset hold excluding participants who have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p>
      <w:pPr>
        <w:pStyle w:val="BodyText"/>
      </w:pPr>
      <w:r>
        <w:t xml:space="preserve">The final dataset consists of 1155 participants (47.01% women), with an average age of 38.92 (</w:t>
      </w:r>
      <w:r>
        <w:rPr>
          <w:iCs/>
          <w:i/>
        </w:rPr>
        <w:t xml:space="preserve">SD</w:t>
      </w:r>
      <w:r>
        <w:t xml:space="preserve"> </w:t>
      </w:r>
      <w:r>
        <w:t xml:space="preserve">= 11.83) years. Of the final sample, 45 participants (44.44% women) dropped out of the study before finishing and 67 participants were flagged by Qualtrics’ fraud detection software as suspicious based on the aforementioned criteria. We will compare the effects while performing the pre-registered analyses both with and without the participants that were flagged by Qualtrics to ensure that the results hold despite possibly fraudulent responses.</w:t>
      </w:r>
    </w:p>
    <w:p>
      <w:pPr>
        <w:pStyle w:val="BodyText"/>
      </w:pPr>
      <w:r>
        <w:t xml:space="preserve">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49.96%), with even representation of men and women across conditions,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participants completed and number of questions answered (as a proxy for number of problems practiced).</w:t>
      </w:r>
    </w:p>
    <w:p>
      <w:pPr>
        <w:pStyle w:val="BodyText"/>
      </w:pPr>
      <w: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4 methods</dc:title>
  <dc:creator>Keana Richards</dc:creator>
  <cp:keywords/>
  <dcterms:created xsi:type="dcterms:W3CDTF">2022-02-10T16:58:36Z</dcterms:created>
  <dcterms:modified xsi:type="dcterms:W3CDTF">2022-02-10T16:58:36Z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