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bookmarkStart w:id="20" w:name="participants"/>
    <w:p>
      <w:pPr>
        <w:pStyle w:val="Heading2"/>
      </w:pP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End w:id="20"/>
    <w:bookmarkStart w:id="24" w:name="procedures"/>
    <w:p>
      <w:pPr>
        <w:pStyle w:val="Heading2"/>
      </w:pPr>
      <w:r>
        <w:t xml:space="preserve">Procedures</w:t>
      </w:r>
    </w:p>
    <w:p>
      <w:pPr>
        <w:pStyle w:val="FirstParagraph"/>
      </w:pPr>
      <w:r>
        <w:t xml:space="preserve">As in Studies 1 and 2, participants included in the study were told they would be completing a multiplication task. Notably, we aimed to recruit a larger sample to grant us enough power to detect our anticipated interaction effects, and decided to shorten the task from two minutes to 30 seconds.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21" w:name="manipulation-of-payment-scheme"/>
    <w:p>
      <w:pPr>
        <w:pStyle w:val="Heading3"/>
      </w:pP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are assigned to the tournament payment scheme, they were be randomly matched with another participant that was also assigned to this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 We also assessed condition-dependent attrition by identifying the number of participants that dropped out during/after learning about condition and find that a relatively small proportion of participants out of the total sample dropped out after learning about their respective condition (</w:t>
      </w:r>
      <w:r>
        <w:rPr>
          <w:iCs/>
          <w:i/>
        </w:rPr>
        <w:t xml:space="preserve">N</w:t>
      </w:r>
      <w:r>
        <w:t xml:space="preserve"> </w:t>
      </w:r>
      <w:r>
        <w:t xml:space="preserve">= 42) and thus, are not concerned that condition-dependent attrition is driving any of the effects found in this study.</w:t>
      </w:r>
    </w:p>
    <w:bookmarkEnd w:id="21"/>
    <w:bookmarkStart w:id="22" w:name="Xb5ecbf778533b7a6005b21fa62ed595c4aa93ae"/>
    <w:p>
      <w:pPr>
        <w:pStyle w:val="Heading3"/>
      </w:pPr>
      <w:r>
        <w:t xml:space="preserve">Main dependent variables of interest: Measures of preparation and perceptions of relative preparation</w:t>
      </w:r>
    </w:p>
    <w:p>
      <w:pPr>
        <w:pStyle w:val="FirstParagraph"/>
      </w:pPr>
      <w:r>
        <w:t xml:space="preserve">Crucially, participants will be given the opportunity to prepare after they are informed of their payment scheme.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Again, the number of extra practice rounds serves as a way to quantify the number of times participants continue to practice after having seen what the practicing/studying looks like and having gone through it at least once. 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p>
    <w:p>
      <w:pPr>
        <w:pStyle w:val="BodyText"/>
      </w:pPr>
      <w:r>
        <w:t xml:space="preserve">After completing the practicing/studying, participants guessed how much their amount of practicing for the task compared to all other participants that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the decile questions to create perceived practice deviation variables as follows: self-rated decile - actual percentile based on number of practice problems completed. Therefore, negative values for this variable indicate a participant expected to have practice less, relative to other participants, than they actually did, and vice versa for positive values. A value of zero, therefore, indicates that a given participant was completely accurate in their guess of relative practicing.</w:t>
      </w:r>
    </w:p>
    <w:bookmarkEnd w:id="22"/>
    <w:bookmarkStart w:id="23" w:name="main-task-and-post-task-measures"/>
    <w:p>
      <w:pPr>
        <w:pStyle w:val="Heading3"/>
      </w:pPr>
      <w:r>
        <w:t xml:space="preserve">Main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2022-03-21T18:55:34Z</dcterms:created>
  <dcterms:modified xsi:type="dcterms:W3CDTF">2022-03-21T18:55:34Z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