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bookmarkStart w:id="20" w:name="describing-main-variables-of-interest"/>
    <w:p>
      <w:pPr>
        <w:pStyle w:val="Heading2"/>
      </w:pPr>
      <w:r>
        <w:rPr>
          <w:rStyle w:val="SectionNumber"/>
        </w:rPr>
        <w:t xml:space="preserve">0.1</w:t>
      </w:r>
      <w:r>
        <w:tab/>
      </w:r>
      <w:r>
        <w:t xml:space="preserve">Describing main variables of interest</w:t>
      </w:r>
    </w:p>
    <w:p>
      <w:pPr>
        <w:pStyle w:val="FirstParagraph"/>
      </w:pPr>
      <w:r>
        <w:t xml:space="preserve">First, we explored the characteristics of the main practice variables in the dataset. Across conditions,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 and of those who chose to practice, completed an average of 0.14 total rounds of extra practice problems (that is, rounds of practice after having seen what the practice looks like in the first practice round).</w:t>
      </w:r>
    </w:p>
    <w:p>
      <w:pPr>
        <w:pStyle w:val="BodyText"/>
      </w:pPr>
      <w:r>
        <w:t xml:space="preserve">Like all studies in the first chapter, we replicate the effect of gender on risk,</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 =7.28, even when including risk,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t>
      </w:r>
      <w:r>
        <w:t xml:space="preserve">(NOTE: interesting that the sd for men appears to be higher than for women - aka men may have been significantly more likely to fall into both extremes of the performance distribution - Emily is this worth mentioning?). We explore this finding further in the discussion section for this study.</w:t>
      </w:r>
    </w:p>
    <w:bookmarkEnd w:id="20"/>
    <w:bookmarkStart w:id="21" w:name="X66bca34bc79ced31b0d969edc3f6730eec21068"/>
    <w:p>
      <w:pPr>
        <w:pStyle w:val="Heading2"/>
      </w:pPr>
      <w:r>
        <w:rPr>
          <w:rStyle w:val="SectionNumber"/>
        </w:rPr>
        <w:t xml:space="preserve">0.2</w:t>
      </w:r>
      <w:r>
        <w:tab/>
      </w:r>
      <w:r>
        <w:t xml:space="preserve">Effects of gender and condition on both practicing and perceptions of one’s relative practicing</w:t>
      </w:r>
    </w:p>
    <w:p>
      <w:pPr>
        <w:pStyle w:val="FirstParagraph"/>
      </w:pPr>
      <w:r>
        <w:t xml:space="preserve">Through a logistic regression with gender, condition, and the interaction between the two predicting the binary choice to practice problems, we replicate the effect of gender on the choice to practice found in Chapter 1,</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where 50.74% of women chose to prepare via practice, relative to 37.62% of men (see Figure</w:t>
      </w:r>
      <w:r>
        <w:t xml:space="preserve"> </w:t>
      </w:r>
      <w:r>
        <w:t xml:space="preserve">??</w:t>
      </w:r>
      <w:r>
        <w:t xml:space="preserve">).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w:t>
      </w:r>
    </w:p>
    <w:p>
      <w:pPr>
        <w:pStyle w:val="BodyText"/>
      </w:pPr>
      <w:r>
        <w:t xml:space="preserve">As part of our pre-registered analyses, we also examined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extra practice</w:t>
      </w:r>
      <w:r>
        <w:t xml:space="preserve"> </w:t>
      </w:r>
      <m:oMath>
        <m:r>
          <m:t>b</m:t>
        </m:r>
        <m:r>
          <m:rPr>
            <m:sty m:val="p"/>
          </m:rPr>
          <m:t>=</m:t>
        </m:r>
        <m:r>
          <m:t>0.62</m:t>
        </m:r>
      </m:oMath>
      <w:r>
        <w:t xml:space="preserve">, 95% CI</w:t>
      </w:r>
      <w:r>
        <w:t xml:space="preserve"> </w:t>
      </w:r>
      <m:oMath>
        <m:r>
          <m:rPr>
            <m:sty m:val="p"/>
          </m:rPr>
          <m:t>[</m:t>
        </m:r>
        <m:r>
          <m:t>0.35</m:t>
        </m:r>
      </m:oMath>
      <w:r>
        <w:t xml:space="preserve">,</w:t>
      </w:r>
      <w:r>
        <w:t xml:space="preserve"> </w:t>
      </w:r>
      <m:oMath>
        <m:r>
          <m:t>0.91</m:t>
        </m:r>
        <m:r>
          <m:rPr>
            <m:sty m:val="p"/>
          </m:rPr>
          <m:t>]</m:t>
        </m:r>
      </m:oMath>
      <w:r>
        <w:t xml:space="preserve">,</w:t>
      </w:r>
      <w:r>
        <w:t xml:space="preserve"> </w:t>
      </w:r>
      <m:oMath>
        <m:r>
          <m:t>z</m:t>
        </m:r>
        <m:r>
          <m:rPr>
            <m:sty m:val="p"/>
          </m:rPr>
          <m:t>=</m:t>
        </m:r>
        <m:r>
          <m:t>4.31</m:t>
        </m:r>
      </m:oMath>
      <w:r>
        <w:t xml:space="preserve">,</w:t>
      </w:r>
      <w:r>
        <w:t xml:space="preserve"> </w:t>
      </w:r>
      <m:oMath>
        <m:r>
          <m:t>p</m:t>
        </m:r>
        <m:r>
          <m:rPr>
            <m:sty m:val="p"/>
          </m:rPr>
          <m:t>&lt;</m:t>
        </m:r>
        <m:r>
          <m:t>.001</m:t>
        </m:r>
      </m:oMath>
      <w:r>
        <w:t xml:space="preserve">,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w:t>
      </w:r>
    </w:p>
    <w:bookmarkEnd w:id="21"/>
    <w:bookmarkStart w:id="22" w:name="X9d1dc9a54b471fab0534ba4acad72c7148596db"/>
    <w:p>
      <w:pPr>
        <w:pStyle w:val="Heading2"/>
      </w:pPr>
      <w:r>
        <w:rPr>
          <w:rStyle w:val="SectionNumber"/>
        </w:rPr>
        <w:t xml:space="preserve">0.3</w:t>
      </w:r>
      <w:r>
        <w:tab/>
      </w: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w:t>
      </w:r>
      <w:r>
        <w:t xml:space="preserve"> </w:t>
      </w:r>
      <w:r>
        <w:t xml:space="preserve">??</w:t>
      </w:r>
      <w:r>
        <w:t xml:space="preserve">). We do/do not (INSERT) observe a significant effect of condition on perceived relative practice, INSERT. Finally, we did not find evidence of the anticipated interaction effect between gender and condition on perceptions of relative preparation,</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w:t>
      </w:r>
    </w:p>
    <w:p>
      <w:pPr>
        <w:pStyle w:val="BodyText"/>
      </w:pPr>
      <w:r>
        <w:t xml:space="preserve">We performed a more targeted exploratory analysis to see if the effect of INSERT held when participants have actually practiced (and as a result, the question about their relative practicing may have felt more relevant), and find that among the subset of participants who chose to practice, women (again, relative to men) were still significantly less likely to believe that they practiced more than others,</w:t>
      </w:r>
      <w:r>
        <w:t xml:space="preserve"> </w:t>
      </w:r>
      <m:oMath>
        <m:r>
          <m:t>b</m:t>
        </m:r>
        <m:r>
          <m:rPr>
            <m:sty m:val="p"/>
          </m:rPr>
          <m:t>=</m:t>
        </m:r>
        <m:r>
          <m:t>1.39</m:t>
        </m:r>
      </m:oMath>
      <w:r>
        <w:t xml:space="preserve">, 95% CI</w:t>
      </w:r>
      <w:r>
        <w:t xml:space="preserve"> </w:t>
      </w:r>
      <m:oMath>
        <m:r>
          <m:rPr>
            <m:sty m:val="p"/>
          </m:rPr>
          <m:t>[</m:t>
        </m:r>
        <m:r>
          <m:rPr>
            <m:sty m:val="p"/>
          </m:rPr>
          <m:t>−</m:t>
        </m:r>
        <m:r>
          <m:t>4.47</m:t>
        </m:r>
      </m:oMath>
      <w:r>
        <w:t xml:space="preserve">,</w:t>
      </w:r>
      <w:r>
        <w:t xml:space="preserve"> </w:t>
      </w:r>
      <m:oMath>
        <m:r>
          <m:t>7.24</m:t>
        </m:r>
        <m:r>
          <m:rPr>
            <m:sty m:val="p"/>
          </m:rPr>
          <m:t>]</m:t>
        </m:r>
      </m:oMath>
      <w:r>
        <w:t xml:space="preserve">,</w:t>
      </w:r>
      <w:r>
        <w:t xml:space="preserve"> </w:t>
      </w:r>
      <m:oMath>
        <m:r>
          <m:t>t</m:t>
        </m:r>
        <m:r>
          <m:rPr>
            <m:sty m:val="p"/>
          </m:rPr>
          <m:t>(</m:t>
        </m:r>
        <m:r>
          <m:t>1794</m:t>
        </m:r>
        <m:r>
          <m:rPr>
            <m:sty m:val="p"/>
          </m:rPr>
          <m:t>)</m:t>
        </m:r>
        <m:r>
          <m:rPr>
            <m:sty m:val="p"/>
          </m:rPr>
          <m:t>=</m:t>
        </m:r>
        <m:r>
          <m:t>0.47</m:t>
        </m:r>
      </m:oMath>
      <w:r>
        <w:t xml:space="preserve">,</w:t>
      </w:r>
      <w:r>
        <w:t xml:space="preserve"> </w:t>
      </w:r>
      <m:oMath>
        <m:r>
          <m:t>p</m:t>
        </m:r>
        <m:r>
          <m:rPr>
            <m:sty m:val="p"/>
          </m:rPr>
          <m:t>=</m:t>
        </m:r>
        <m:r>
          <m:t>.642</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INSERT, although this effect does not hold when focusing only on the subset of participants who chose to practice, INSERT.</w:t>
      </w:r>
    </w:p>
    <w:p>
      <w:pPr>
        <w:pStyle w:val="BodyText"/>
      </w:pPr>
      <w:r>
        <w:t xml:space="preserve">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22"/>
    <w:bookmarkStart w:id="23" w:name="Xd2a22ad1302868553316faee4c8713911737c5d"/>
    <w:p>
      <w:pPr>
        <w:pStyle w:val="Heading2"/>
      </w:pPr>
      <w:r>
        <w:rPr>
          <w:rStyle w:val="SectionNumber"/>
        </w:rPr>
        <w:t xml:space="preserve">0.4</w:t>
      </w:r>
      <w:r>
        <w:tab/>
      </w:r>
      <w:r>
        <w:t xml:space="preserve">Perceptions of gender differences in behavior</w:t>
      </w:r>
    </w:p>
    <w:p>
      <w:pPr>
        <w:pStyle w:val="FirstParagraph"/>
      </w:pPr>
      <w: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 ,</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 which was significantly higher than the proportion of participants who said men would be more likely to practice/study than women (4.73%),</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1</m:t>
        </m:r>
        <m:r>
          <m:rPr>
            <m:sty m:val="p"/>
          </m:rPr>
          <m:t>,</m:t>
        </m:r>
        <m:r>
          <m:t>837.76</m:t>
        </m:r>
      </m:oMath>
      <w:r>
        <w:t xml:space="preserve">,</w:t>
      </w:r>
      <w:r>
        <w:t xml:space="preserve"> </w:t>
      </w:r>
      <m:oMath>
        <m:r>
          <m:t>p</m:t>
        </m:r>
        <m:r>
          <m:rPr>
            <m:sty m:val="p"/>
          </m:rPr>
          <m:t>&lt;</m:t>
        </m:r>
        <m:r>
          <m:t>.001</m:t>
        </m:r>
      </m:oMath>
      <w:r>
        <w:t xml:space="preserve">, and the proportion of participants that said there was no difference in the likelihood that men and women would practice/study (35.7%),</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235.00</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relative to the proportion of participants that said men prepare more than women (4.41% of participants),</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2</m:t>
        </m:r>
        <m:r>
          <m:rPr>
            <m:sty m:val="p"/>
          </m:rPr>
          <m:t>,</m:t>
        </m:r>
        <m:r>
          <m:t>200.99</m:t>
        </m:r>
      </m:oMath>
      <w:r>
        <w:t xml:space="preserve">,</w:t>
      </w:r>
      <w:r>
        <w:t xml:space="preserve"> </w:t>
      </w:r>
      <m:oMath>
        <m:r>
          <m:t>p</m:t>
        </m:r>
        <m:r>
          <m:rPr>
            <m:sty m:val="p"/>
          </m:rPr>
          <m:t>&lt;</m:t>
        </m:r>
        <m:r>
          <m:t>.001</m:t>
        </m:r>
      </m:oMath>
      <w:r>
        <w:t xml:space="preserve">, or that there is no difference in how much men and women prepare (27.31% of participants),</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688.84</m:t>
        </m:r>
      </m:oMath>
      <w:r>
        <w:t xml:space="preserve">,</w:t>
      </w:r>
      <w:r>
        <w:t xml:space="preserve"> </w:t>
      </w:r>
      <m:oMath>
        <m:r>
          <m:t>p</m:t>
        </m:r>
        <m:r>
          <m:rPr>
            <m:sty m:val="p"/>
          </m:rPr>
          <m:t>&lt;</m:t>
        </m:r>
        <m:r>
          <m:t>.001</m:t>
        </m:r>
      </m:oMath>
      <w:r>
        <w:t xml:space="preserve">.</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w:t>
      </w:r>
      <m:oMath>
        <m:sSup>
          <m:e>
            <m:r>
              <m:t>χ</m:t>
            </m:r>
          </m:e>
          <m:sup>
            <m:r>
              <m:t>2</m:t>
            </m:r>
          </m:sup>
        </m:sSup>
        <m:r>
          <m:rPr>
            <m:sty m:val="p"/>
          </m:rPr>
          <m:t>(</m:t>
        </m:r>
        <m:r>
          <m:t>1</m:t>
        </m:r>
        <m:r>
          <m:rPr>
            <m:sty m:val="p"/>
          </m:rPr>
          <m:t>,</m:t>
        </m:r>
        <m:r>
          <m:t>n</m:t>
        </m:r>
        <m:r>
          <m:rPr>
            <m:sty m:val="p"/>
          </m:rPr>
          <m:t>=</m:t>
        </m:r>
        <m:r>
          <m:t>4172</m:t>
        </m:r>
        <m:r>
          <m:rPr>
            <m:sty m:val="p"/>
          </m:rPr>
          <m:t>)</m:t>
        </m:r>
        <m:r>
          <m:rPr>
            <m:sty m:val="p"/>
          </m:rPr>
          <m:t>=</m:t>
        </m:r>
        <m:r>
          <m:t>594.16</m:t>
        </m:r>
      </m:oMath>
      <w:r>
        <w:t xml:space="preserve">,</w:t>
      </w:r>
      <w:r>
        <w:t xml:space="preserve"> </w:t>
      </w:r>
      <m:oMath>
        <m:r>
          <m:t>p</m:t>
        </m:r>
        <m:r>
          <m:rPr>
            <m:sty m:val="p"/>
          </m:rPr>
          <m:t>&lt;</m:t>
        </m:r>
        <m:r>
          <m:t>.001</m:t>
        </m:r>
      </m:oMath>
      <w:r>
        <w:t xml:space="preserve">, and 25.27% said women had a performance advantage over men,</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413.36</m:t>
        </m:r>
      </m:oMath>
      <w:r>
        <w:t xml:space="preserve">,</w:t>
      </w:r>
      <w:r>
        <w:t xml:space="preserve"> </w:t>
      </w:r>
      <m:oMath>
        <m:r>
          <m:t>p</m:t>
        </m:r>
        <m:r>
          <m:rPr>
            <m:sty m:val="p"/>
          </m:rPr>
          <m:t>&lt;</m:t>
        </m:r>
        <m:r>
          <m:t>.001</m:t>
        </m:r>
      </m:oMath>
      <w:r>
        <w:t xml:space="preserve">.</w:t>
      </w:r>
    </w:p>
    <w:p>
      <w:pPr>
        <w:pStyle w:val="BodyText"/>
      </w:pPr>
      <w:r>
        <w:t xml:space="preserve">Finally, 64.24% of participants expected women would be more likely to choose the piece-rate payment scheme than the tournament payment scheme,</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which was a significantly higher proportion of participants than those who expected women would choose each payment scheme equally (20.9%),</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865.27</m:t>
        </m:r>
      </m:oMath>
      <w:r>
        <w:t xml:space="preserve">,</w:t>
      </w:r>
      <w:r>
        <w:t xml:space="preserve"> </w:t>
      </w:r>
      <m:oMath>
        <m:r>
          <m:t>p</m:t>
        </m:r>
        <m:r>
          <m:rPr>
            <m:sty m:val="p"/>
          </m:rPr>
          <m:t>&lt;</m:t>
        </m:r>
        <m:r>
          <m:t>.001</m:t>
        </m:r>
      </m:oMath>
      <w:r>
        <w:t xml:space="preserve">, and than those who expected women would choose tournament more often than piece rate, (14.86%),</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1</m:t>
        </m:r>
        <m:r>
          <m:rPr>
            <m:sty m:val="p"/>
          </m:rPr>
          <m:t>,</m:t>
        </m:r>
        <m:r>
          <m:t>209.14</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 relative to the proportion of participants who said men would choose each payment scheme equally (15.8%),</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1</m:t>
        </m:r>
        <m:r>
          <m:rPr>
            <m:sty m:val="p"/>
          </m:rPr>
          <m:t>,</m:t>
        </m:r>
        <m:r>
          <m:t>125.25</m:t>
        </m:r>
      </m:oMath>
      <w:r>
        <w:t xml:space="preserve">,</w:t>
      </w:r>
      <w:r>
        <w:t xml:space="preserve"> </w:t>
      </w:r>
      <m:oMath>
        <m:r>
          <m:t>p</m:t>
        </m:r>
        <m:r>
          <m:rPr>
            <m:sty m:val="p"/>
          </m:rPr>
          <m:t>&lt;</m:t>
        </m:r>
        <m:r>
          <m:t>.001</m:t>
        </m:r>
      </m:oMath>
      <w:r>
        <w:t xml:space="preserve">, and the proportion who said men would choose piece rate more often than tournament (20.7%),</w:t>
      </w:r>
      <w:r>
        <w:t xml:space="preserve"> </w:t>
      </w:r>
      <m:oMath>
        <m:sSup>
          <m:e>
            <m:r>
              <m:t>χ</m:t>
            </m:r>
          </m:e>
          <m:sup>
            <m:r>
              <m:t>2</m:t>
            </m:r>
          </m:sup>
        </m:sSup>
        <m:r>
          <m:rPr>
            <m:sty m:val="p"/>
          </m:rPr>
          <m:t>(</m:t>
        </m:r>
        <m:r>
          <m:t>1</m:t>
        </m:r>
        <m:r>
          <m:rPr>
            <m:sty m:val="p"/>
          </m:rPr>
          <m:t>,</m:t>
        </m:r>
        <m:r>
          <m:t>n</m:t>
        </m:r>
        <m:r>
          <m:rPr>
            <m:sty m:val="p"/>
          </m:rPr>
          <m:t>=</m:t>
        </m:r>
        <m:r>
          <m:t>4172</m:t>
        </m:r>
        <m:r>
          <m:rPr>
            <m:sty m:val="p"/>
          </m:rPr>
          <m:t>)</m:t>
        </m:r>
        <m:r>
          <m:rPr>
            <m:sty m:val="p"/>
          </m:rPr>
          <m:t>=</m:t>
        </m:r>
        <m:r>
          <m:t>853.48</m:t>
        </m:r>
      </m:oMath>
      <w:r>
        <w:t xml:space="preserve">,</w:t>
      </w:r>
      <w:r>
        <w:t xml:space="preserve"> </w:t>
      </w:r>
      <m:oMath>
        <m:r>
          <m:t>p</m:t>
        </m:r>
        <m:r>
          <m:rPr>
            <m:sty m:val="p"/>
          </m:rPr>
          <m:t>&lt;</m:t>
        </m:r>
        <m:r>
          <m:t>.001</m:t>
        </m:r>
      </m:oMath>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2022-03-26T18:10:31Z</dcterms:created>
  <dcterms:modified xsi:type="dcterms:W3CDTF">2022-03-26T18:10:31Z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