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PCBA 排期交付协同平台 V1.0 操作规程（SOP）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文件项目</w:t>
            </w:r>
          </w:p>
        </w:tc>
        <w:tc>
          <w:tcPr>
            <w:tcW w:type="dxa" w:w="4762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文件编号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PCBA-SOP-001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版本 / 日期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V1.0 / 2026-09-29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适用人员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业务、采购、仓库、工程、生产节点责任人、系统管理员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适用范围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当前局域网部署的 PCBA 排期交付协同平台</w:t>
            </w:r>
          </w:p>
        </w:tc>
      </w:tr>
    </w:tbl>
    <w:p>
      <w:pPr>
        <w:spacing w:after="20"/>
      </w:pPr>
    </w:p>
    <w:p>
      <w:pPr>
        <w:pStyle w:val="Heading1"/>
      </w:pPr>
      <w:r>
        <w:t>1. 目的与使用边界</w:t>
      </w:r>
    </w:p>
    <w:p>
      <w:r>
        <w:t>本规程用于把客户交期、项目阶段、板卡 BOM、物料、外协进度和客户交付放在同一工作台跟踪，及时发现缺项、延期及无人负责的事项。操作人应以单据、厂商确认或实物记录为依据填写日期和数量，并在工作台完成责任闭环。</w:t>
      </w:r>
    </w:p>
    <w:p>
      <w:r>
        <w:t>平台目前</w:t>
      </w:r>
      <w:r>
        <w:rPr>
          <w:b/>
        </w:rPr>
        <w:t>没有与金蝶 KIS 自动同步</w:t>
      </w:r>
      <w:r>
        <w:t>。人员从 KIS 导出文件后在“数据导入”中预览、核对和应用；平台的库存预留也不会回写 KIS。平台给出的节点草案和临时估算不等于厂商正式承诺或客户交期。</w:t>
      </w:r>
    </w:p>
    <w:p>
      <w:pPr>
        <w:pStyle w:val="Heading1"/>
      </w:pPr>
      <w:r>
        <w:t>2. 角色与责任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4762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主要操作与核对责任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业务负责人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建立项目或客户订单；维护客户要求日、业务承诺日、交付批次、完成口径和客户签收；处理交期风险。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采购负责人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维护采购单、分批到料与 ETA；向供应商确认预计到货日；处理缺料、退换与补购待办。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仓库负责人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核实库存快照口径和可用量；按生产批次确认预留、发料、到料及 IQC 结果；复核物料缺口。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工程人员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核对板卡组成、BOM 版本和替代料；使用本人工程账号审批替代料并记录依据。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生产节点责任人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核对本人负责的工序计划、实际日期和外协反馈；据实勾选节点完成，处理节点逾期。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管理员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审批账号和权限、维护公司日历、查看备份及必要时恢复、检查服务和日志。</w:t>
            </w:r>
          </w:p>
        </w:tc>
      </w:tr>
    </w:tbl>
    <w:p>
      <w:pPr>
        <w:spacing w:after="20"/>
      </w:pPr>
    </w:p>
    <w:p>
      <w:r>
        <w:t>普通内部账号可按已授予权限编辑业务数据，系统记录实际修改人。数据导入和查看修改记录需管理员单独授权；替代料审批限工程账号；只有待办当前责任人或管理员可确认待办完成。</w:t>
      </w:r>
    </w:p>
    <w:p>
      <w:pPr>
        <w:pStyle w:val="Heading1"/>
      </w:pPr>
      <w:r>
        <w:t>3. 必须区分的日期与状态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名称</w:t>
            </w:r>
          </w:p>
        </w:tc>
        <w:tc>
          <w:tcPr>
            <w:tcW w:type="dxa" w:w="4762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使用口径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客户要求交期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客户提出的交付日期，单独保留和预警。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业务承诺交期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我方正式向客户承诺的日期，单独保留和预警；变更须填写原因。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厂商承诺开工 / 完工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外协厂确认的生产日期；板卡独立排期时逐板填写。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节点计划 / 实际日期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某道工序的计划与实际，不自动代表整批完工。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正式预测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在 BOM、物料、厂商承诺等依据完整时由系统计算；缺依据时显示“无法确定”。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临时估算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人工预计或按延期天数顺延的参考日期，须与正式预测分开阅读。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交付完成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按该订单选择的“发货”或“客户签收”口径，逐交付批次登记实际数量和日期。</w:t>
            </w:r>
          </w:p>
        </w:tc>
      </w:tr>
    </w:tbl>
    <w:p>
      <w:pPr>
        <w:spacing w:after="20"/>
      </w:pPr>
    </w:p>
    <w:p>
      <w:r>
        <w:t>“红色风险”表示预测延期或交期已逾期；“黄色临期”表示距离交期不超过 5 个公司工作日。</w:t>
      </w:r>
      <w:r>
        <w:rPr>
          <w:b/>
        </w:rPr>
        <w:t>没有红黄提示不等于安全</w:t>
      </w:r>
      <w:r>
        <w:t>：还须检查“无法确定”、缺项和待办。工作日默认周一至周五，管理员维护节假日及调休。</w:t>
      </w:r>
    </w:p>
    <w:p>
      <w:pPr>
        <w:pStyle w:val="Heading1"/>
      </w:pPr>
      <w:r>
        <w:t>4. 首次使用与日常登录</w:t>
      </w:r>
    </w:p>
    <w:p>
      <w:pPr>
        <w:pStyle w:val="SOPList"/>
      </w:pPr>
      <w:r>
        <w:t xml:space="preserve">1. 主机 Windows 11 已部署时，双击项目目录中的 </w:t>
      </w:r>
      <w:r>
        <w:rPr>
          <w:rFonts w:ascii="Consolas" w:hAnsi="Consolas"/>
          <w:sz w:val="18"/>
        </w:rPr>
        <w:t>start.bat</w:t>
      </w:r>
      <w:r>
        <w:t>。首次启动会准备依赖、后台运行并设置当前 Windows 用户登录后自启动；日常使用不必保持命令窗口打开。</w:t>
      </w:r>
    </w:p>
    <w:p>
      <w:pPr>
        <w:pStyle w:val="SOPList"/>
      </w:pPr>
      <w:r>
        <w:t xml:space="preserve">2. 首位管理员在主机本机打开 </w:t>
      </w:r>
      <w:r>
        <w:rPr>
          <w:rFonts w:ascii="Consolas" w:hAnsi="Consolas"/>
          <w:sz w:val="18"/>
        </w:rPr>
        <w:t>http://localhost:8001</w:t>
      </w:r>
      <w:r>
        <w:t>，按“首次使用：在本机创建管理员”建立账号。密码至少 10 位。</w:t>
      </w:r>
    </w:p>
    <w:p>
      <w:pPr>
        <w:pStyle w:val="SOPList"/>
      </w:pPr>
      <w:r>
        <w:t xml:space="preserve">3. 其他人员在浏览器打开 </w:t>
      </w:r>
      <w:r>
        <w:rPr>
          <w:rFonts w:ascii="Consolas" w:hAnsi="Consolas"/>
          <w:sz w:val="18"/>
        </w:rPr>
        <w:t>http://主机电脑名:8001</w:t>
      </w:r>
      <w:r>
        <w:t>，点“申请注册”并提交姓名、账号和密码。管理员在“设置与备份 → 账号管理 / 待审批申请”核对身份、选择角色和权限，批准后方可登录。管理员也可直接创建内部账号。</w:t>
      </w:r>
    </w:p>
    <w:p>
      <w:pPr>
        <w:pStyle w:val="SOPList"/>
      </w:pPr>
      <w:r>
        <w:t>4. 每人只用本人账号操作；离岗时退出。忘记密码由管理员在账号管理中重置；登录后的用户可“修改我的密码”。密码修改后需重新登录。</w:t>
      </w:r>
    </w:p>
    <w:p>
      <w:pPr>
        <w:pStyle w:val="SOPList"/>
      </w:pPr>
      <w:r>
        <w:t>5. 每天进入“交付总览”查看红色风险、黄色临期、无法确定及待办；再按顶部“当前项目”或“项目排期”进入负责项目。</w:t>
      </w:r>
    </w:p>
    <w:p>
      <w:pPr>
        <w:pStyle w:val="Heading1"/>
      </w:pPr>
      <w:r>
        <w:t>5. 标准业务流程</w:t>
      </w:r>
    </w:p>
    <w:p>
      <w:pPr>
        <w:pStyle w:val="Heading2"/>
      </w:pPr>
      <w:r>
        <w:t>5.1 建立项目、产品与订单</w:t>
      </w:r>
    </w:p>
    <w:p>
      <w:pPr>
        <w:pStyle w:val="SOPList"/>
      </w:pPr>
      <w:r>
        <w:t>1. 在“项目排期”点击“+ 新建项目”。选择“内部研发”或“客户订单”，填写项目名称、产品、数量和业务负责人。内部研发尚无正式销售单时可先建项目，取得正式订单后再在订单详情补客户及正式订单号。</w:t>
      </w:r>
    </w:p>
    <w:p>
      <w:pPr>
        <w:pStyle w:val="SOPList"/>
      </w:pPr>
      <w:r>
        <w:t>2. 客户订单应填写客户订单号、客户名称及产品信息。若有首批交付，同时填写首批数量、</w:t>
      </w:r>
      <w:r>
        <w:rPr>
          <w:b/>
        </w:rPr>
        <w:t>客户要求交期</w:t>
      </w:r>
      <w:r>
        <w:t>、</w:t>
      </w:r>
      <w:r>
        <w:rPr>
          <w:b/>
        </w:rPr>
        <w:t>业务承诺交期</w:t>
      </w:r>
      <w:r>
        <w:t>；人工预计交付日须填写依据。两种正式交期都保留，不能用预计日替代。</w:t>
      </w:r>
    </w:p>
    <w:p>
      <w:pPr>
        <w:pStyle w:val="SOPList"/>
      </w:pPr>
      <w:r>
        <w:t>3. 一张订单有多次交货时，到“客户订单 → 查看订单”分别建立交付批次，逐批填写数量、两种交期及该单的交付完成口径。核对各批数量之和；未建立足额批次会产生待办。</w:t>
      </w:r>
    </w:p>
    <w:p>
      <w:pPr>
        <w:pStyle w:val="SOPList"/>
      </w:pPr>
      <w:r>
        <w:t>4. 同一项目的研发打样、PP、MP 分别建立阶段生产批次；各阶段单号和数量可不同。生产批次与客户交付批次分开记录，不能把生产数量直接当成已交付数量。</w:t>
      </w:r>
    </w:p>
    <w:p>
      <w:pPr>
        <w:pStyle w:val="Heading2"/>
      </w:pPr>
      <w:r>
        <w:t>5.2 配置板卡与导入 BOM</w:t>
      </w:r>
    </w:p>
    <w:p>
      <w:pPr>
        <w:pStyle w:val="SOPList"/>
      </w:pPr>
      <w:r>
        <w:t>1. 一个客户产品有主板、按键板等多块板时，在项目或订单详情点“配置多板 / 管理板卡”→“+ 添加板卡”。逐板填写板位、板名、BOM 母件编码、默认版本及“每件产品用板数”，核对后点“确认板卡组成”。</w:t>
      </w:r>
    </w:p>
    <w:p>
      <w:pPr>
        <w:pStyle w:val="SOPList"/>
      </w:pPr>
      <w:r>
        <w:t>2. 按业务实际选择“共用批次节点”或“各板独立排期”。前者共用一套工序和厂商承诺；后者逐板管理计划片数、厂商、承诺日期、节点与实际完工片数。修改排期方式只影响后续新批次；已有批次须按页面条件另行更新。</w:t>
      </w:r>
    </w:p>
    <w:p>
      <w:pPr>
        <w:pStyle w:val="SOPList"/>
      </w:pPr>
      <w:r>
        <w:t>3. 在“数据导入 → BOM”导入各板 BOM，核对“母件编码＋版本”、子件、单位用量、损耗和单价。一个表含多个母件时，按“级次”拆分并逐一核对归属；导入完成不会自动把多块板归到同一项目。</w:t>
      </w:r>
    </w:p>
    <w:p>
      <w:pPr>
        <w:pStyle w:val="SOPList"/>
      </w:pPr>
      <w:r>
        <w:t>4. 在“数据导入 → BOM → BOM 单价与总价”补目录缺价、填写测算生产数量并查看 CNY 小计和总价。缺任一单价时完整总价显示待补齐。目录价格与后续锁定的批次价格分别维护，改单价应填写原因。</w:t>
      </w:r>
    </w:p>
    <w:p>
      <w:pPr>
        <w:pStyle w:val="Heading2"/>
      </w:pPr>
      <w:r>
        <w:t>5.3 建立阶段排期与维护生产节点</w:t>
      </w:r>
    </w:p>
    <w:p>
      <w:pPr>
        <w:pStyle w:val="SOPList"/>
      </w:pPr>
      <w:r>
        <w:t>1. 在订单详情点击“+ 建立生产批次”，选择研发打样、PP 或 MP，填写阶段单号、数量、排期起点和日历规则。PP/MP 继续填写外协厂承诺开工、完工日期；研发打样填写打样目标、预计及实际到板、调试验收等适用信息。</w:t>
      </w:r>
    </w:p>
    <w:p>
      <w:pPr>
        <w:pStyle w:val="SOPList"/>
      </w:pPr>
      <w:r>
        <w:t>2. 在“启用板卡 / 逐板 BOM”为每块板选择目录中的正确版本并“选择并锁定 BOM”；普通单板项目使用“关联 BOM / 锁定 BOM”。全部必需板卡锁定后，该批次才算 BOM 锁定。锁定的是本批次快照，后续导入或目录调价不会自动覆盖；批次的“BOM 物料成本”可单独补价。</w:t>
      </w:r>
    </w:p>
    <w:p>
      <w:pPr>
        <w:pStyle w:val="SOPList"/>
      </w:pPr>
      <w:r>
        <w:t>3. 系统按该产品阶段模板和默认耗时给出“节点草案最早完工”。此日期仅用于核对计划；责任人应结合物料齐套、厂商承诺和实际进度逐节点调整。可保存产品模板供后续同类批次使用。</w:t>
      </w:r>
    </w:p>
    <w:p>
      <w:pPr>
        <w:pStyle w:val="SOPList"/>
      </w:pPr>
      <w:r>
        <w:t>4. 在“项目排期”点击项目名称或批次的“生产节点 / 逐板节点”，查看点到点进度轴。点击节点圆点直接修改负责人、耗时、计划开始/完成、实际开始/完成及备注。</w:t>
      </w:r>
    </w:p>
    <w:p>
      <w:pPr>
        <w:pStyle w:val="SOPList"/>
      </w:pPr>
      <w:r>
        <w:t>5. 收到工序完成依据后，先选有效的节点责任人账号，再在节点编辑框勾选“已完成”。未填实际完成日期时系统记当日；日期误填或撤销完成必须填写原因。</w:t>
      </w:r>
      <w:r>
        <w:rPr>
          <w:b/>
        </w:rPr>
        <w:t>节点打钩仅表示该工序完成</w:t>
      </w:r>
      <w:r>
        <w:t>，还须另行登记生产批次或板卡完工及客户交付。</w:t>
      </w:r>
    </w:p>
    <w:p>
      <w:pPr>
        <w:pStyle w:val="SOPList"/>
      </w:pPr>
      <w:r>
        <w:t>6. 独立板卡排期应逐板填写计划片数和外协承诺、维护节点并登记实际完工片数。每块板至少达到“生产成品套数 × 每套用板数”；不足时整批正式完工无法确定。整批预测按必需板卡中较晚的完工日判断。</w:t>
      </w:r>
    </w:p>
    <w:p>
      <w:pPr>
        <w:pStyle w:val="SOPList"/>
      </w:pPr>
      <w:r>
        <w:t>7. 发现同一外协厂档期重叠时，向厂商核对是否能并行；能并行才在冲突提示中填写联系人、日期及依据。厂商计划改变后重新核对。</w:t>
      </w:r>
    </w:p>
    <w:p>
      <w:pPr>
        <w:pStyle w:val="Heading2"/>
      </w:pPr>
      <w:r>
        <w:t>5.4 逐项核料、采购、仓库与 IQC</w:t>
      </w:r>
    </w:p>
    <w:p>
      <w:pPr>
        <w:pStyle w:val="SOPList"/>
      </w:pPr>
      <w:r>
        <w:t>1. 在“物料齐套 → 逐项核料”选项目和生产批次。逐条打开“逐项核对”，核对 BOM 需求、合格预留、已发料、缺口、采购 ETA、到料和 IQC。不同板使用同一物料时，系统按物料编码合并缺口，来源仍可展开查看。</w:t>
      </w:r>
    </w:p>
    <w:p>
      <w:pPr>
        <w:pStyle w:val="SOPList"/>
      </w:pPr>
      <w:r>
        <w:t>2. 仓库导入库存时标明快照日期及口径：“现存量”只是原始数量，不能直接作为可预留量；核实已占用、待检等后，再提交“可用量”快照。工作台内的仓库预留是内部承诺，不占用 KIS 库存；新快照到来后复核原预留和缺口。</w:t>
      </w:r>
    </w:p>
    <w:p>
      <w:pPr>
        <w:pStyle w:val="SOPList"/>
      </w:pPr>
      <w:r>
        <w:t>3. 仓库按订单确认预留数量，收到物料后登记到料并填写 IQC 合格数。不合格或部分合格时据实记录；系统重算缺口，采购处理补购或退换待办。未检合格的数量不能当作齐套。</w:t>
      </w:r>
    </w:p>
    <w:p>
      <w:pPr>
        <w:pStyle w:val="SOPList"/>
      </w:pPr>
      <w:r>
        <w:t>4. 采购登记采购单及 ETA，并注明“人工估算 / KIS 日期待确认”或“供应商已确认”。未指向生产批次的采购记录须“分配到生产批次”，其 ETA 才参与该批次齐套估算。无 ETA 或仅估算时正式预测可能仍为“无法确定”。</w:t>
      </w:r>
    </w:p>
    <w:p>
      <w:pPr>
        <w:pStyle w:val="SOPList"/>
      </w:pPr>
      <w:r>
        <w:t>5. 如需替代料，由人员提交申请，工程人员用本人账号审批并记录验证依据。批准后仓库仍须预留合格替代料，才能计入齐套。损耗率按物料或订单核对后在工作台调整。</w:t>
      </w:r>
    </w:p>
    <w:p>
      <w:pPr>
        <w:pStyle w:val="SOPList"/>
      </w:pPr>
      <w:r>
        <w:t>6. 每条物料核完可点“确认已核对并继续”。“已核对”仅代表当时依据已查，不代表齐套；BOM、库存、预留、采购或到料依据变化后，按“需复核”重新检查。</w:t>
      </w:r>
    </w:p>
    <w:p>
      <w:pPr>
        <w:pStyle w:val="Heading2"/>
      </w:pPr>
      <w:r>
        <w:t>5.5 发料、外协与客户交付</w:t>
      </w:r>
    </w:p>
    <w:p>
      <w:pPr>
        <w:pStyle w:val="SOPList"/>
      </w:pPr>
      <w:r>
        <w:t>1. 在生产批次记录我方发料、厂商签收、厂商完工及成品回厂或直发，填写实际日期、数量和依据；独立排期按板登记完工片数。</w:t>
      </w:r>
    </w:p>
    <w:p>
      <w:pPr>
        <w:pStyle w:val="SOPList"/>
      </w:pPr>
      <w:r>
        <w:t>2. 在交付批次用“关联数量”把生产批次的成品套数分配给客户交付批次。一个生产批次可对应多次交付，不能重复分配同一数量；未足额关联会出现待办。</w:t>
      </w:r>
    </w:p>
    <w:p>
      <w:pPr>
        <w:pStyle w:val="SOPList"/>
      </w:pPr>
      <w:r>
        <w:t>3. 业务按选定的完成口径在交付批次“记录发货 / 签收”，逐次登记数量和实际日期。发货口径以发货完成，签收口径以客户签收完成；不得把厂商完工或节点完成直接记为客户已交付。</w:t>
      </w:r>
    </w:p>
    <w:p>
      <w:pPr>
        <w:pStyle w:val="SOPList"/>
      </w:pPr>
      <w:r>
        <w:t>4. 交付前分别核对客户要求日、业务承诺日与正式预测；若正式预测为“无法确定”，先补齐缺项并向外协厂重新确认，临时估算不能作为对客户的正式交期。</w:t>
      </w:r>
    </w:p>
    <w:p>
      <w:pPr>
        <w:pStyle w:val="Heading1"/>
      </w:pPr>
      <w:r>
        <w:t>6. 预警与待办闭环</w:t>
      </w:r>
    </w:p>
    <w:p>
      <w:pPr>
        <w:pStyle w:val="SOPList"/>
      </w:pPr>
      <w:r>
        <w:t>1. 每个工作日先处理“交付总览”的红色风险和“无法确定”，再看黄色临期；进入“待办中心”查看本人待办和项目“待处理事项”。</w:t>
      </w:r>
    </w:p>
    <w:p>
      <w:pPr>
        <w:pStyle w:val="SOPList"/>
      </w:pPr>
      <w:r>
        <w:t>2. 对缺 BOM、缺日期、缺 ETA、库存待确认、物料不足、节点逾期、厂商档期冲突等事项，先修改对应业务记录，再复核风险和预测。物料晚到、节点逾期时，联系厂商更新承诺；系统显示的顺延日期仅为临时估算。</w:t>
      </w:r>
    </w:p>
    <w:p>
      <w:pPr>
        <w:pStyle w:val="SOPList"/>
      </w:pPr>
      <w:r>
        <w:t>3. 待办需转交他人时点“转派”，选新责任人并填交接说明。处理完毕后当前责任人或管理员点“确认完成”，写明结果及依据。</w:t>
      </w:r>
    </w:p>
    <w:p>
      <w:pPr>
        <w:pStyle w:val="SOPList"/>
      </w:pPr>
      <w:r>
        <w:t>4. 风险条件消失会自动取消红黄预警；待办仍须责任人确认。确认待办也不会掩盖仍存在的风险。修改记录中可追溯操作人、前后值、时间与原因。</w:t>
      </w:r>
    </w:p>
    <w:p>
      <w:pPr>
        <w:pStyle w:val="Heading1"/>
      </w:pPr>
      <w:r>
        <w:t>7. 文件导入与 Excel 导出</w:t>
      </w:r>
    </w:p>
    <w:p>
      <w:pPr>
        <w:pStyle w:val="Heading2"/>
      </w:pPr>
      <w:r>
        <w:t>7.1 KIS 或其他来源的导入</w:t>
      </w:r>
    </w:p>
    <w:p>
      <w:pPr>
        <w:pStyle w:val="SOPList"/>
      </w:pPr>
      <w:r>
        <w:t xml:space="preserve">1. 从 KIS 按需导出销售订单、BOM、库存、采购记录或入库记录；在“数据导入”选择相应类型及 </w:t>
      </w:r>
      <w:r>
        <w:rPr>
          <w:rFonts w:ascii="Consolas" w:hAnsi="Consolas"/>
          <w:sz w:val="18"/>
        </w:rPr>
        <w:t>.csv</w:t>
      </w:r>
      <w:r>
        <w:t>、</w:t>
      </w:r>
      <w:r>
        <w:rPr>
          <w:rFonts w:ascii="Consolas" w:hAnsi="Consolas"/>
          <w:sz w:val="18"/>
        </w:rPr>
        <w:t>.xlsx</w:t>
      </w:r>
      <w:r>
        <w:t xml:space="preserve"> 或 </w:t>
      </w:r>
      <w:r>
        <w:rPr>
          <w:rFonts w:ascii="Consolas" w:hAnsi="Consolas"/>
          <w:sz w:val="18"/>
        </w:rPr>
        <w:t>.pdf</w:t>
      </w:r>
      <w:r>
        <w:t xml:space="preserve"> 文件。目前这一步由人员操作，</w:t>
      </w:r>
      <w:r>
        <w:rPr>
          <w:b/>
        </w:rPr>
        <w:t>不是 KIS 自动同步</w:t>
      </w:r>
      <w:r>
        <w:t>。</w:t>
      </w:r>
    </w:p>
    <w:p>
      <w:pPr>
        <w:pStyle w:val="SOPList"/>
      </w:pPr>
      <w:r>
        <w:t>2. 确认工作表、表头行和列名映射；PDF 的单号、BOM 版本等若只在页眉，核对原件后填“PDF 页眉固定字段”。库存还要填写快照日期和“现存量 / 可用量”口径。</w:t>
      </w:r>
    </w:p>
    <w:p>
      <w:pPr>
        <w:pStyle w:val="SOPList"/>
      </w:pPr>
      <w:r>
        <w:t>3. 点“预览差异”，逐行核对单号、物料编码、数量、日期、价格，以及“新增 / 更新 / 不变 / 错误”。只选择确认无误的行和差异字段；修改关键数量、日期或价格时填原因，然后“应用所选更改”。有错误的行先修正，不以整单成功代替逐项检查。</w:t>
      </w:r>
    </w:p>
    <w:p>
      <w:pPr>
        <w:pStyle w:val="SOPList"/>
      </w:pPr>
      <w:r>
        <w:t>4. 选中 PDF 且主机已配置 DeepSeek 时，平台会自动把 PDF 页面图片发送至 DeepSeek 生成候选表格；</w:t>
      </w:r>
      <w:r>
        <w:rPr>
          <w:b/>
        </w:rPr>
        <w:t>不会自动写入业务数据</w:t>
      </w:r>
      <w:r>
        <w:t>。AI 新增行默认不勾选，须对照原 PDF 逐项选择。未配置密钥时可使用 CSV/XLSX 和可解析的文字表格 PDF。</w:t>
      </w:r>
    </w:p>
    <w:p>
      <w:pPr>
        <w:pStyle w:val="SOPList"/>
      </w:pPr>
      <w:r>
        <w:t>5. 导入前系统自动备份。导入完成后检查导入记录、目标订单或 BOM、物料数量及待办变化；源文件重复物料行需有稳定源行号，避免误合并。</w:t>
      </w:r>
    </w:p>
    <w:p>
      <w:pPr>
        <w:pStyle w:val="Heading2"/>
      </w:pPr>
      <w:r>
        <w:t>7.2 导出与对账</w:t>
      </w:r>
    </w:p>
    <w:p>
      <w:pPr>
        <w:pStyle w:val="SOPList"/>
      </w:pPr>
      <w:r>
        <w:t>1. “项目排期”可按当前项目、阶段筛选导出项目排期 Excel，也可导出全部项目；内容包括项目、生产批次、板件排期和节点。</w:t>
      </w:r>
    </w:p>
    <w:p>
      <w:pPr>
        <w:pStyle w:val="SOPList"/>
      </w:pPr>
      <w:r>
        <w:t>2. “客户订单”可按当前搜索条件导出客户订单 Excel，也可导出全部客户订单；内容包括交付批次及生产交付关联，内部研发项目不在客户订单导出中。</w:t>
      </w:r>
    </w:p>
    <w:p>
      <w:pPr>
        <w:pStyle w:val="SOPList"/>
      </w:pPr>
      <w:r>
        <w:t>3. Excel 是导出时的快照。对外发送前由业务负责人核对客户、数量、日期及“正式预测 / 临时估算”列；不要把临时估算当成正式承诺。</w:t>
      </w:r>
    </w:p>
    <w:p>
      <w:pPr>
        <w:pStyle w:val="Heading1"/>
      </w:pPr>
      <w:r>
        <w:t>8. 管理员维护与故障处理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事项</w:t>
            </w:r>
          </w:p>
        </w:tc>
        <w:tc>
          <w:tcPr>
            <w:tcW w:type="dxa" w:w="4762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标准操作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账号与权限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“设置与备份 → 账号管理”审批、启停、修改角色/权限或重置密码；工程替代料审批须保留工程角色。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公司日历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“设置与备份”维护节假日与调休，变更后复核相关节点和交期计算。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服务状态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 xml:space="preserve">在主机双击 </w:t>
            </w:r>
            <w:r>
              <w:rPr>
                <w:rFonts w:ascii="Consolas" w:hAnsi="Consolas"/>
                <w:sz w:val="18"/>
              </w:rPr>
              <w:t>service.bat</w:t>
            </w:r>
            <w:r>
              <w:t>，选“3. Show status and LAN URL”；确认健康状态与局域网地址。服务在当前 Windows 用户登录后自启动，主机须保持开机且该用户已登录。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本机备份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 xml:space="preserve">“设置与备份 → 立即备份”，或 </w:t>
            </w:r>
            <w:r>
              <w:rPr>
                <w:rFonts w:ascii="Consolas" w:hAnsi="Consolas"/>
                <w:sz w:val="18"/>
              </w:rPr>
              <w:t>service.bat</w:t>
            </w:r>
            <w:r>
              <w:t xml:space="preserve"> 菜单选“4. Make a consistent SQLite backup now”。系统启动前、每天及应用导入前也会备份；本机默认保留最近 30 份。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恢复备份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管理员在“设置与备份”选择备份并输入“恢复”；系统先另存当前数据库，再替换并要求重新登录。恢复后核对关键订单和交期。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本机打不开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 xml:space="preserve">运行 </w:t>
            </w:r>
            <w:r>
              <w:rPr>
                <w:rFonts w:ascii="Consolas" w:hAnsi="Consolas"/>
                <w:sz w:val="18"/>
              </w:rPr>
              <w:t>service.bat status</w:t>
            </w:r>
            <w:r>
              <w:t xml:space="preserve">，检查 </w:t>
            </w:r>
            <w:r>
              <w:rPr>
                <w:rFonts w:ascii="Consolas" w:hAnsi="Consolas"/>
                <w:sz w:val="18"/>
              </w:rPr>
              <w:t>logs/watch.log</w:t>
            </w:r>
            <w:r>
              <w:t>、</w:t>
            </w:r>
            <w:r>
              <w:rPr>
                <w:rFonts w:ascii="Consolas" w:hAnsi="Consolas"/>
                <w:sz w:val="18"/>
              </w:rPr>
              <w:t>logs/server-error.log</w:t>
            </w:r>
            <w:r>
              <w:t xml:space="preserve">；必要时双击 </w:t>
            </w:r>
            <w:r>
              <w:rPr>
                <w:rFonts w:ascii="Consolas" w:hAnsi="Consolas"/>
                <w:sz w:val="18"/>
              </w:rPr>
              <w:t>start.bat</w:t>
            </w:r>
            <w:r>
              <w:t xml:space="preserve"> 启动。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>同事打不开但主机可用</w:t>
            </w:r>
          </w:p>
        </w:tc>
        <w:tc>
          <w:tcPr>
            <w:tcW w:type="dxa" w:w="4762"/>
            <w:vAlign w:val="center"/>
          </w:tcPr>
          <w:p>
            <w:pPr>
              <w:pStyle w:val="SOPTable"/>
              <w:keepLines/>
            </w:pPr>
            <w:r/>
            <w:r>
              <w:t xml:space="preserve">核对主机名及 Windows 专用网络；管理员权限运行 </w:t>
            </w:r>
            <w:r>
              <w:rPr>
                <w:rFonts w:ascii="Consolas" w:hAnsi="Consolas"/>
                <w:sz w:val="18"/>
              </w:rPr>
              <w:t>service.bat firewall</w:t>
            </w:r>
            <w:r>
              <w:t xml:space="preserve"> 放行 TCP 8001。</w:t>
            </w:r>
          </w:p>
        </w:tc>
      </w:tr>
    </w:tbl>
    <w:p>
      <w:pPr>
        <w:spacing w:after="20"/>
      </w:pPr>
    </w:p>
    <w:p>
      <w:r>
        <w:t xml:space="preserve">数据库在 </w:t>
      </w:r>
      <w:r>
        <w:rPr>
          <w:rFonts w:ascii="Consolas" w:hAnsi="Consolas"/>
          <w:sz w:val="18"/>
        </w:rPr>
        <w:t>data/pcba.db</w:t>
      </w:r>
      <w:r>
        <w:t xml:space="preserve">，本机备份在 </w:t>
      </w:r>
      <w:r>
        <w:rPr>
          <w:rFonts w:ascii="Consolas" w:hAnsi="Consolas"/>
          <w:sz w:val="18"/>
        </w:rPr>
        <w:t>data/backups/</w:t>
      </w:r>
      <w:r>
        <w:t xml:space="preserve">。当前未配置第二备份目标时，备份只在主机本地；若以后设置第二磁盘或共享目录，按 </w:t>
      </w:r>
      <w:r>
        <w:rPr>
          <w:rFonts w:ascii="Consolas" w:hAnsi="Consolas"/>
          <w:sz w:val="18"/>
        </w:rPr>
        <w:t>README.md</w:t>
      </w:r>
      <w:r>
        <w:t xml:space="preserve"> 配置 </w:t>
      </w:r>
      <w:r>
        <w:rPr>
          <w:rFonts w:ascii="Consolas" w:hAnsi="Consolas"/>
          <w:sz w:val="18"/>
        </w:rPr>
        <w:t>server/.env</w:t>
      </w:r>
      <w:r>
        <w:t xml:space="preserve"> 的 </w:t>
      </w:r>
      <w:r>
        <w:rPr>
          <w:rFonts w:ascii="Consolas" w:hAnsi="Consolas"/>
          <w:sz w:val="18"/>
        </w:rPr>
        <w:t>PCBA_BACKUP_MIRROR_DIR</w:t>
      </w:r>
      <w:r>
        <w:t xml:space="preserve"> 并检查状态。不要在更新程序时删除 </w:t>
      </w:r>
      <w:r>
        <w:rPr>
          <w:rFonts w:ascii="Consolas" w:hAnsi="Consolas"/>
          <w:sz w:val="18"/>
        </w:rPr>
        <w:t>data/</w:t>
      </w:r>
      <w:r>
        <w:t>、</w:t>
      </w:r>
      <w:r>
        <w:rPr>
          <w:rFonts w:ascii="Consolas" w:hAnsi="Consolas"/>
          <w:sz w:val="18"/>
        </w:rPr>
        <w:t>logs/</w:t>
      </w:r>
      <w:r>
        <w:t xml:space="preserve"> 或 </w:t>
      </w:r>
      <w:r>
        <w:rPr>
          <w:rFonts w:ascii="Consolas" w:hAnsi="Consolas"/>
          <w:sz w:val="18"/>
        </w:rPr>
        <w:t>.venv/</w:t>
      </w:r>
      <w:r>
        <w:t>。</w:t>
      </w:r>
    </w:p>
    <w:p>
      <w:pPr>
        <w:pStyle w:val="Heading1"/>
      </w:pPr>
      <w:r>
        <w:t>9. 每日交接检查表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时点</w:t>
            </w:r>
          </w:p>
        </w:tc>
        <w:tc>
          <w:tcPr>
            <w:tcW w:type="dxa" w:w="3175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检查动作</w:t>
            </w:r>
          </w:p>
        </w:tc>
        <w:tc>
          <w:tcPr>
            <w:tcW w:type="dxa" w:w="3175"/>
            <w:vAlign w:val="center"/>
            <w:shd w:fill="E6F0F3"/>
          </w:tcPr>
          <w:p>
            <w:pPr>
              <w:pStyle w:val="SOPTable"/>
              <w:keepLines/>
            </w:pPr>
            <w:r>
              <w:rPr>
                <w:b/>
              </w:rPr>
            </w:r>
            <w:r>
              <w:rPr>
                <w:b/>
              </w:rPr>
              <w:t>完成标准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每日开始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查看交付总览、本人待办、负责项目的缺项和生产节点。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红色与无法确定事项已指定责任人；黄色临期有跟进计划。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采购 / 仓库有变化时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更新 ETA、到料与 IQC、库存可用量、预留和发料；复核“需复核”物料。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数量、日期、来源和责任人有记录，缺口重新计算。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收到外协反馈时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更新厂商承诺、节点实际日期和完工数量；核对冲突及顺延估算。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逾期节点有处理依据；正式预测与临时估算分开。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发货或签收后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登记交付批次实际数量及日期，核对订单剩余量和待办。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所选完成口径下的交付量正确，无重复计数。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每日结束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责任人确认已解决待办；管理员按需检查服务与最近备份。</w:t>
            </w:r>
          </w:p>
        </w:tc>
        <w:tc>
          <w:tcPr>
            <w:tcW w:type="dxa" w:w="3175"/>
            <w:vAlign w:val="center"/>
          </w:tcPr>
          <w:p>
            <w:pPr>
              <w:pStyle w:val="SOPTable"/>
              <w:keepLines/>
            </w:pPr>
            <w:r/>
            <w:r>
              <w:t>未关闭事项有下一步、责任人和可追溯依据。</w:t>
            </w:r>
          </w:p>
        </w:tc>
      </w:tr>
    </w:tbl>
    <w:p>
      <w:pPr>
        <w:spacing w:after="20"/>
      </w:pPr>
    </w:p>
    <w:p>
      <w:pPr>
        <w:pStyle w:val="Heading1"/>
      </w:pPr>
      <w:r>
        <w:t>10. V1.0 验收与使用限制</w:t>
      </w:r>
    </w:p>
    <w:p>
      <w:pPr>
        <w:pStyle w:val="SOPList"/>
      </w:pPr>
      <w:r>
        <w:t>- 项目可含多块板，BOM 按板关联并锁定到生产批次；客户交付数量按成品套数统计，不把板片数相加。</w:t>
      </w:r>
    </w:p>
    <w:p>
      <w:pPr>
        <w:pStyle w:val="SOPList"/>
      </w:pPr>
      <w:r>
        <w:t>- 研发打样可只用内部目标和调试验收管理；PP、MP 仍须核对厂商承诺、物料齐套和客户交付批次。</w:t>
      </w:r>
    </w:p>
    <w:p>
      <w:pPr>
        <w:pStyle w:val="SOPList"/>
      </w:pPr>
      <w:r>
        <w:t>- 平台只发现</w:t>
      </w:r>
      <w:r>
        <w:rPr>
          <w:b/>
        </w:rPr>
        <w:t>本系统已记录</w:t>
      </w:r>
      <w:r>
        <w:t>的同厂档期重叠，不能代表外协厂全部已占产能。</w:t>
      </w:r>
    </w:p>
    <w:p>
      <w:pPr>
        <w:pStyle w:val="SOPList"/>
      </w:pPr>
      <w:r>
        <w:t>- 新导入的 KIS 库存快照可能改变可用量依据，仓库须重新核对工作台预留；两系统之间不会自动占库。</w:t>
      </w:r>
    </w:p>
    <w:p>
      <w:pPr>
        <w:pStyle w:val="SOPList"/>
      </w:pPr>
      <w:r>
        <w:t>- BOM 物料需求按每行整数件向上取整，价格按行计价到分；具体计量精度和采购价格以核实的业务单据为准。</w:t>
      </w:r>
    </w:p>
    <w:p>
      <w:pPr>
        <w:pStyle w:val="SOPList"/>
      </w:pPr>
      <w:r>
        <w:t>- 当前入口为局域网 HTTP 8001；需要第二备份目录或其他网络入口时，由管理员按部署说明另行配置。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34" w:bottom="1049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PCBA-SOP-001  ·  2026-09-29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/>
        <w:color w:val="5B707B"/>
        <w:sz w:val="16"/>
      </w:rPr>
      <w:t>PCBA 排期交付协同平台  |  V1.0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5" w:lineRule="auto"/>
    </w:pPr>
    <w:rPr>
      <w:rFonts w:ascii="微软雅黑" w:hAnsi="微软雅黑" w:eastAsia="微软雅黑"/>
      <w:color w:val="2A38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9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650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9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6506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69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6506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List">
    <w:name w:val="SOP List"/>
    <w:basedOn w:val="Normal"/>
    <w:pPr>
      <w:spacing w:after="60" w:line="283" w:lineRule="auto"/>
      <w:ind w:left="198" w:hanging="170"/>
    </w:pPr>
  </w:style>
  <w:style w:type="paragraph" w:customStyle="1" w:styleId="SOPTable">
    <w:name w:val="SOP Table"/>
    <w:basedOn w:val="Normal"/>
    <w:pPr>
      <w:spacing w:after="60" w:line="283" w:lineRule="auto"/>
    </w:pPr>
    <w:rPr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PCBA 排期交付协同平台 V1.0 操作规程（SOP）</dc:title>
  <dc:subject>业务、采购、仓库、工程和管理员操作规程</dc:subject>
  <dc:creator>python-docx</dc:creator>
  <cp:keywords>PCBA,SOP,交付,排期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