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DC5" w:rsidRPr="00425DC5" w:rsidRDefault="00425DC5" w:rsidP="00425DC5">
      <w:pPr>
        <w:shd w:val="clear" w:color="auto" w:fill="FFFFFF"/>
        <w:spacing w:after="165" w:line="360" w:lineRule="auto"/>
        <w:rPr>
          <w:rFonts w:ascii="Times New Roman" w:eastAsia="Times New Roman" w:hAnsi="Times New Roman" w:cs="Times New Roman"/>
          <w:b/>
          <w:sz w:val="24"/>
          <w:szCs w:val="24"/>
        </w:rPr>
      </w:pPr>
      <w:r w:rsidRPr="00425DC5">
        <w:rPr>
          <w:rFonts w:ascii="Times New Roman" w:eastAsia="Times New Roman" w:hAnsi="Times New Roman" w:cs="Times New Roman"/>
          <w:b/>
          <w:sz w:val="24"/>
          <w:szCs w:val="24"/>
        </w:rPr>
        <w:t>The Cultural Orientations M</w:t>
      </w:r>
      <w:r w:rsidR="00983FEC" w:rsidRPr="00983FEC">
        <w:rPr>
          <w:rFonts w:ascii="Times New Roman" w:eastAsia="Times New Roman" w:hAnsi="Times New Roman" w:cs="Times New Roman"/>
          <w:b/>
          <w:sz w:val="24"/>
          <w:szCs w:val="24"/>
        </w:rPr>
        <w:t xml:space="preserve">odel: </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Environment: How individuals view and relate to the people, objects and issues in their sphere of influence</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Time: How individuals perceive the nature of time and its use</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Action: How individuals view actions and interactions</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Communication: How individuals express themselves</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Space: How individuals demarcate their physical and psychological space</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Power: How individuals view differential power relationship</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Individualism: How individuals define their identity</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Competitiveness: How individuals are motivated</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Structure: How individuals approach change, risk, ambiguity and uncertainty</w:t>
      </w:r>
    </w:p>
    <w:p w:rsidR="00425DC5" w:rsidRPr="00425DC5" w:rsidRDefault="00425DC5" w:rsidP="00425DC5">
      <w:pPr>
        <w:numPr>
          <w:ilvl w:val="0"/>
          <w:numId w:val="1"/>
        </w:numPr>
        <w:shd w:val="clear" w:color="auto" w:fill="FFFFFF"/>
        <w:spacing w:before="100" w:beforeAutospacing="1" w:after="180" w:line="360" w:lineRule="auto"/>
        <w:ind w:left="552"/>
        <w:rPr>
          <w:rFonts w:ascii="Times New Roman" w:eastAsia="Times New Roman" w:hAnsi="Times New Roman" w:cs="Times New Roman"/>
          <w:sz w:val="24"/>
          <w:szCs w:val="24"/>
        </w:rPr>
      </w:pPr>
      <w:r w:rsidRPr="00425DC5">
        <w:rPr>
          <w:rFonts w:ascii="Times New Roman" w:eastAsia="Times New Roman" w:hAnsi="Times New Roman" w:cs="Times New Roman"/>
          <w:sz w:val="24"/>
          <w:szCs w:val="24"/>
        </w:rPr>
        <w:t>Thinking: How individuals conceptualize, (Walker, 2003, p. 57).</w:t>
      </w:r>
    </w:p>
    <w:p w:rsidR="00234E09" w:rsidRPr="00425DC5" w:rsidRDefault="00D34979" w:rsidP="00425DC5">
      <w:pPr>
        <w:spacing w:line="360" w:lineRule="auto"/>
        <w:rPr>
          <w:rFonts w:ascii="Times New Roman" w:hAnsi="Times New Roman" w:cs="Times New Roman"/>
          <w:sz w:val="24"/>
          <w:szCs w:val="24"/>
        </w:rPr>
      </w:pPr>
    </w:p>
    <w:p w:rsidR="00425DC5" w:rsidRPr="00425DC5" w:rsidRDefault="00425DC5" w:rsidP="00425DC5">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425DC5">
        <w:rPr>
          <w:rFonts w:ascii="Times New Roman" w:eastAsia="Times New Roman" w:hAnsi="Times New Roman" w:cs="Times New Roman"/>
          <w:b/>
          <w:sz w:val="24"/>
          <w:szCs w:val="24"/>
        </w:rPr>
        <w:t>Cultural frames</w:t>
      </w:r>
      <w:r w:rsidRPr="00425DC5">
        <w:rPr>
          <w:rFonts w:ascii="Times New Roman" w:eastAsia="Times New Roman" w:hAnsi="Times New Roman" w:cs="Times New Roman"/>
          <w:sz w:val="24"/>
          <w:szCs w:val="24"/>
        </w:rPr>
        <w:t>: the window through which an individual defines him or herself, others and the world;</w:t>
      </w:r>
    </w:p>
    <w:p w:rsidR="00425DC5" w:rsidRPr="00425DC5" w:rsidRDefault="00425DC5" w:rsidP="00425DC5">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425DC5">
        <w:rPr>
          <w:rFonts w:ascii="Times New Roman" w:eastAsia="Times New Roman" w:hAnsi="Times New Roman" w:cs="Times New Roman"/>
          <w:b/>
          <w:sz w:val="24"/>
          <w:szCs w:val="24"/>
        </w:rPr>
        <w:t>Ethnocentrism</w:t>
      </w:r>
      <w:r w:rsidRPr="00425DC5">
        <w:rPr>
          <w:rFonts w:ascii="Times New Roman" w:eastAsia="Times New Roman" w:hAnsi="Times New Roman" w:cs="Times New Roman"/>
          <w:sz w:val="24"/>
          <w:szCs w:val="24"/>
        </w:rPr>
        <w:t>: Evaluating another culture according to our own;</w:t>
      </w:r>
    </w:p>
    <w:p w:rsidR="00D34979" w:rsidRDefault="00425DC5" w:rsidP="00D34979">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425DC5">
        <w:rPr>
          <w:rFonts w:ascii="Times New Roman" w:eastAsia="Times New Roman" w:hAnsi="Times New Roman" w:cs="Times New Roman"/>
          <w:b/>
          <w:sz w:val="24"/>
          <w:szCs w:val="24"/>
        </w:rPr>
        <w:t>False attributions</w:t>
      </w:r>
      <w:r w:rsidRPr="00425DC5">
        <w:rPr>
          <w:rFonts w:ascii="Times New Roman" w:eastAsia="Times New Roman" w:hAnsi="Times New Roman" w:cs="Times New Roman"/>
          <w:sz w:val="24"/>
          <w:szCs w:val="24"/>
        </w:rPr>
        <w:t>: Attributing our own meanings to behaviours in other cultures which may not be correct;</w:t>
      </w:r>
    </w:p>
    <w:p w:rsidR="00D34979" w:rsidRPr="00D34979" w:rsidRDefault="00D34979" w:rsidP="00D34979">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D34979">
        <w:rPr>
          <w:rFonts w:ascii="Times New Roman" w:eastAsia="Times New Roman" w:hAnsi="Times New Roman" w:cs="Times New Roman"/>
          <w:b/>
          <w:sz w:val="24"/>
          <w:szCs w:val="24"/>
        </w:rPr>
        <w:t>Prejudice</w:t>
      </w:r>
      <w:r w:rsidRPr="00D34979">
        <w:rPr>
          <w:rFonts w:ascii="Times New Roman" w:eastAsia="Times New Roman" w:hAnsi="Times New Roman" w:cs="Times New Roman"/>
          <w:sz w:val="24"/>
          <w:szCs w:val="24"/>
        </w:rPr>
        <w:t xml:space="preserve">: </w:t>
      </w:r>
      <w:r w:rsidRPr="00D34979">
        <w:rPr>
          <w:rFonts w:ascii="Times New Roman" w:eastAsia="Times New Roman" w:hAnsi="Times New Roman" w:cs="Times New Roman"/>
          <w:sz w:val="24"/>
          <w:szCs w:val="24"/>
        </w:rPr>
        <w:t>preconceived opinion</w:t>
      </w:r>
      <w:r>
        <w:rPr>
          <w:rFonts w:ascii="Times New Roman" w:eastAsia="Times New Roman" w:hAnsi="Times New Roman" w:cs="Times New Roman"/>
          <w:sz w:val="24"/>
          <w:szCs w:val="24"/>
        </w:rPr>
        <w:t>/idea/notion</w:t>
      </w:r>
      <w:r w:rsidRPr="00D34979">
        <w:rPr>
          <w:rFonts w:ascii="Times New Roman" w:eastAsia="Times New Roman" w:hAnsi="Times New Roman" w:cs="Times New Roman"/>
          <w:sz w:val="24"/>
          <w:szCs w:val="24"/>
        </w:rPr>
        <w:t xml:space="preserve"> that is not based on reason or actual </w:t>
      </w:r>
      <w:r w:rsidRPr="00D34979">
        <w:rPr>
          <w:rFonts w:ascii="Times New Roman" w:eastAsia="Times New Roman" w:hAnsi="Times New Roman" w:cs="Times New Roman"/>
          <w:sz w:val="24"/>
          <w:szCs w:val="24"/>
        </w:rPr>
        <w:t>experience: “prejudice</w:t>
      </w:r>
      <w:r w:rsidRPr="00D34979">
        <w:rPr>
          <w:rFonts w:ascii="Times New Roman" w:eastAsia="Times New Roman" w:hAnsi="Times New Roman" w:cs="Times New Roman"/>
          <w:sz w:val="24"/>
          <w:szCs w:val="24"/>
        </w:rPr>
        <w:t xml:space="preserve"> against people from different backgrounds</w:t>
      </w:r>
      <w:r>
        <w:rPr>
          <w:rFonts w:ascii="Times New Roman" w:eastAsia="Times New Roman" w:hAnsi="Times New Roman" w:cs="Times New Roman"/>
          <w:sz w:val="24"/>
          <w:szCs w:val="24"/>
        </w:rPr>
        <w:t xml:space="preserve"> (Religion/colour/ race etc.</w:t>
      </w:r>
      <w:r w:rsidRPr="00D34979">
        <w:rPr>
          <w:rFonts w:ascii="Times New Roman" w:eastAsia="Times New Roman" w:hAnsi="Times New Roman" w:cs="Times New Roman"/>
          <w:sz w:val="24"/>
          <w:szCs w:val="24"/>
        </w:rPr>
        <w:t>"</w:t>
      </w:r>
    </w:p>
    <w:p w:rsidR="00425DC5" w:rsidRPr="00425DC5" w:rsidRDefault="00425DC5" w:rsidP="00425DC5">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425DC5">
        <w:rPr>
          <w:rFonts w:ascii="Times New Roman" w:eastAsia="Times New Roman" w:hAnsi="Times New Roman" w:cs="Times New Roman"/>
          <w:b/>
          <w:sz w:val="24"/>
          <w:szCs w:val="24"/>
        </w:rPr>
        <w:t>Stereotypes</w:t>
      </w:r>
      <w:r w:rsidRPr="00425DC5">
        <w:rPr>
          <w:rFonts w:ascii="Times New Roman" w:eastAsia="Times New Roman" w:hAnsi="Times New Roman" w:cs="Times New Roman"/>
          <w:sz w:val="24"/>
          <w:szCs w:val="24"/>
        </w:rPr>
        <w:t>: Generalizations that do not allow for exceptions;</w:t>
      </w:r>
    </w:p>
    <w:p w:rsidR="00425DC5" w:rsidRPr="00425DC5" w:rsidRDefault="00425DC5" w:rsidP="00425DC5">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425DC5">
        <w:rPr>
          <w:rFonts w:ascii="Times New Roman" w:eastAsia="Times New Roman" w:hAnsi="Times New Roman" w:cs="Times New Roman"/>
          <w:b/>
          <w:sz w:val="24"/>
          <w:szCs w:val="24"/>
        </w:rPr>
        <w:lastRenderedPageBreak/>
        <w:t>Etiquette and nonverbal behaviours</w:t>
      </w:r>
      <w:r w:rsidRPr="00425DC5">
        <w:rPr>
          <w:rFonts w:ascii="Times New Roman" w:eastAsia="Times New Roman" w:hAnsi="Times New Roman" w:cs="Times New Roman"/>
          <w:sz w:val="24"/>
          <w:szCs w:val="24"/>
        </w:rPr>
        <w:t>: Understanding the meanings of gestures, facial expressions and body positions requiring specific knowledge of a culture;</w:t>
      </w:r>
    </w:p>
    <w:p w:rsidR="00425DC5" w:rsidRPr="00425DC5" w:rsidRDefault="00425DC5" w:rsidP="00425DC5">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425DC5">
        <w:rPr>
          <w:rFonts w:ascii="Times New Roman" w:eastAsia="Times New Roman" w:hAnsi="Times New Roman" w:cs="Times New Roman"/>
          <w:b/>
          <w:sz w:val="24"/>
          <w:szCs w:val="24"/>
        </w:rPr>
        <w:t>Other elements</w:t>
      </w:r>
      <w:r w:rsidRPr="00425DC5">
        <w:rPr>
          <w:rFonts w:ascii="Times New Roman" w:eastAsia="Times New Roman" w:hAnsi="Times New Roman" w:cs="Times New Roman"/>
          <w:sz w:val="24"/>
          <w:szCs w:val="24"/>
        </w:rPr>
        <w:t>: Time and place, top</w:t>
      </w:r>
      <w:r w:rsidR="00D34979">
        <w:rPr>
          <w:rFonts w:ascii="Times New Roman" w:eastAsia="Times New Roman" w:hAnsi="Times New Roman" w:cs="Times New Roman"/>
          <w:sz w:val="24"/>
          <w:szCs w:val="24"/>
        </w:rPr>
        <w:t xml:space="preserve">ic, status and power, style; </w:t>
      </w:r>
    </w:p>
    <w:p w:rsidR="00425DC5" w:rsidRPr="00425DC5" w:rsidRDefault="00425DC5" w:rsidP="00425DC5">
      <w:pPr>
        <w:numPr>
          <w:ilvl w:val="0"/>
          <w:numId w:val="2"/>
        </w:numPr>
        <w:shd w:val="clear" w:color="auto" w:fill="FFFFFF"/>
        <w:spacing w:before="100" w:beforeAutospacing="1" w:after="144" w:line="360" w:lineRule="auto"/>
        <w:ind w:left="390"/>
        <w:rPr>
          <w:rFonts w:ascii="Times New Roman" w:eastAsia="Times New Roman" w:hAnsi="Times New Roman" w:cs="Times New Roman"/>
          <w:sz w:val="24"/>
          <w:szCs w:val="24"/>
        </w:rPr>
      </w:pPr>
      <w:r w:rsidRPr="00D34979">
        <w:rPr>
          <w:rFonts w:ascii="Times New Roman" w:eastAsia="Times New Roman" w:hAnsi="Times New Roman" w:cs="Times New Roman"/>
          <w:b/>
          <w:sz w:val="24"/>
          <w:szCs w:val="24"/>
        </w:rPr>
        <w:t>Language</w:t>
      </w:r>
      <w:r w:rsidRPr="00425DC5">
        <w:rPr>
          <w:rFonts w:ascii="Times New Roman" w:eastAsia="Times New Roman" w:hAnsi="Times New Roman" w:cs="Times New Roman"/>
          <w:sz w:val="24"/>
          <w:szCs w:val="24"/>
        </w:rPr>
        <w:t>: This can be a barrier even if individuals speak the same language, (Walker, 2003, p. 207).</w:t>
      </w:r>
      <w:bookmarkStart w:id="0" w:name="_GoBack"/>
      <w:bookmarkEnd w:id="0"/>
    </w:p>
    <w:p w:rsidR="00425DC5" w:rsidRPr="00425DC5" w:rsidRDefault="00425DC5" w:rsidP="00425DC5">
      <w:pPr>
        <w:spacing w:line="360" w:lineRule="auto"/>
        <w:rPr>
          <w:rFonts w:ascii="Times New Roman" w:hAnsi="Times New Roman" w:cs="Times New Roman"/>
          <w:sz w:val="24"/>
          <w:szCs w:val="24"/>
        </w:rPr>
      </w:pPr>
      <w:r w:rsidRPr="00D34979">
        <w:rPr>
          <w:rFonts w:ascii="Times New Roman" w:hAnsi="Times New Roman" w:cs="Times New Roman"/>
          <w:b/>
          <w:sz w:val="24"/>
          <w:szCs w:val="24"/>
        </w:rPr>
        <w:t>Race</w:t>
      </w:r>
      <w:r w:rsidR="00C440F9" w:rsidRPr="00D34979">
        <w:rPr>
          <w:rFonts w:ascii="Times New Roman" w:hAnsi="Times New Roman" w:cs="Times New Roman"/>
          <w:b/>
          <w:sz w:val="24"/>
          <w:szCs w:val="24"/>
        </w:rPr>
        <w:t>:</w:t>
      </w:r>
      <w:r w:rsidRPr="00425DC5">
        <w:rPr>
          <w:rFonts w:ascii="Times New Roman" w:hAnsi="Times New Roman" w:cs="Times New Roman"/>
          <w:sz w:val="24"/>
          <w:szCs w:val="24"/>
        </w:rPr>
        <w:t xml:space="preserve"> “A local geographic or global human population distinguished as a more or less distinct group by genetically transmitted physical characteristics” </w:t>
      </w:r>
      <w:r w:rsidRPr="00425DC5">
        <w:rPr>
          <w:rFonts w:ascii="Times New Roman" w:hAnsi="Times New Roman" w:cs="Times New Roman"/>
          <w:sz w:val="24"/>
          <w:szCs w:val="24"/>
        </w:rPr>
        <w:sym w:font="Symbol" w:char="F06C"/>
      </w:r>
      <w:r w:rsidRPr="00425DC5">
        <w:rPr>
          <w:rFonts w:ascii="Times New Roman" w:hAnsi="Times New Roman" w:cs="Times New Roman"/>
          <w:sz w:val="24"/>
          <w:szCs w:val="24"/>
        </w:rPr>
        <w:t xml:space="preserve"> “A group of people united or classified together on the basis of common history, nationality, or geographic distribution” – American Heritage Dictionary, 2007</w:t>
      </w:r>
    </w:p>
    <w:p w:rsidR="00425DC5" w:rsidRPr="00425DC5" w:rsidRDefault="00C440F9" w:rsidP="00425DC5">
      <w:pPr>
        <w:spacing w:line="360" w:lineRule="auto"/>
        <w:rPr>
          <w:rFonts w:ascii="Times New Roman" w:hAnsi="Times New Roman" w:cs="Times New Roman"/>
          <w:sz w:val="24"/>
          <w:szCs w:val="24"/>
        </w:rPr>
      </w:pPr>
      <w:r w:rsidRPr="00D34979">
        <w:rPr>
          <w:rFonts w:ascii="Times New Roman" w:hAnsi="Times New Roman" w:cs="Times New Roman"/>
          <w:b/>
          <w:sz w:val="24"/>
          <w:szCs w:val="24"/>
        </w:rPr>
        <w:t>Ethnicity:</w:t>
      </w:r>
      <w:r w:rsidRPr="00425DC5">
        <w:rPr>
          <w:rFonts w:ascii="Times New Roman" w:hAnsi="Times New Roman" w:cs="Times New Roman"/>
          <w:sz w:val="24"/>
          <w:szCs w:val="24"/>
        </w:rPr>
        <w:t xml:space="preserve"> “</w:t>
      </w:r>
      <w:r w:rsidR="00425DC5" w:rsidRPr="00425DC5">
        <w:rPr>
          <w:rFonts w:ascii="Times New Roman" w:hAnsi="Times New Roman" w:cs="Times New Roman"/>
          <w:sz w:val="24"/>
          <w:szCs w:val="24"/>
        </w:rPr>
        <w:t>Ethnicity is the acceptance of the group mores and practices of one’s culture of origin and the concomitant sense of belonging.” “Individuals may have multiple ethnic identities that have different salience at different times” – Fouad, N. (2005)</w:t>
      </w:r>
    </w:p>
    <w:p w:rsidR="00425DC5" w:rsidRPr="00425DC5" w:rsidRDefault="00C440F9" w:rsidP="00425DC5">
      <w:pPr>
        <w:spacing w:line="360" w:lineRule="auto"/>
        <w:rPr>
          <w:rFonts w:ascii="Times New Roman" w:hAnsi="Times New Roman" w:cs="Times New Roman"/>
          <w:sz w:val="24"/>
          <w:szCs w:val="24"/>
        </w:rPr>
      </w:pPr>
      <w:r w:rsidRPr="00D34979">
        <w:rPr>
          <w:rFonts w:ascii="Times New Roman" w:hAnsi="Times New Roman" w:cs="Times New Roman"/>
          <w:b/>
          <w:sz w:val="24"/>
          <w:szCs w:val="24"/>
        </w:rPr>
        <w:t>Nationality</w:t>
      </w:r>
      <w:r w:rsidRPr="00425DC5">
        <w:rPr>
          <w:rFonts w:ascii="Times New Roman" w:hAnsi="Times New Roman" w:cs="Times New Roman"/>
          <w:sz w:val="24"/>
          <w:szCs w:val="24"/>
        </w:rPr>
        <w:t>: “</w:t>
      </w:r>
      <w:r w:rsidR="00425DC5" w:rsidRPr="00425DC5">
        <w:rPr>
          <w:rFonts w:ascii="Times New Roman" w:hAnsi="Times New Roman" w:cs="Times New Roman"/>
          <w:sz w:val="24"/>
          <w:szCs w:val="24"/>
        </w:rPr>
        <w:t xml:space="preserve">The status of belonging to a particular nation by origin, birth, or naturalization” </w:t>
      </w:r>
      <w:r w:rsidR="00425DC5" w:rsidRPr="00425DC5">
        <w:rPr>
          <w:rFonts w:ascii="Times New Roman" w:hAnsi="Times New Roman" w:cs="Times New Roman"/>
          <w:sz w:val="24"/>
          <w:szCs w:val="24"/>
        </w:rPr>
        <w:sym w:font="Symbol" w:char="F06C"/>
      </w:r>
      <w:r w:rsidR="00425DC5" w:rsidRPr="00425DC5">
        <w:rPr>
          <w:rFonts w:ascii="Times New Roman" w:hAnsi="Times New Roman" w:cs="Times New Roman"/>
          <w:sz w:val="24"/>
          <w:szCs w:val="24"/>
        </w:rPr>
        <w:t xml:space="preserve"> “A people having common origins or traditions and often constituting a nation” – American Heritage Dictionary, 2007</w:t>
      </w:r>
    </w:p>
    <w:sectPr w:rsidR="00425DC5" w:rsidRPr="00425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F5100B"/>
    <w:multiLevelType w:val="multilevel"/>
    <w:tmpl w:val="437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501A2"/>
    <w:multiLevelType w:val="multilevel"/>
    <w:tmpl w:val="8B1A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DC5"/>
    <w:rsid w:val="000D5ECE"/>
    <w:rsid w:val="00425DC5"/>
    <w:rsid w:val="008F3E2F"/>
    <w:rsid w:val="00983FEC"/>
    <w:rsid w:val="00C440F9"/>
    <w:rsid w:val="00D3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4920D-B963-4677-9CC5-EB32EDF8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786941">
      <w:bodyDiv w:val="1"/>
      <w:marLeft w:val="0"/>
      <w:marRight w:val="0"/>
      <w:marTop w:val="0"/>
      <w:marBottom w:val="0"/>
      <w:divBdr>
        <w:top w:val="none" w:sz="0" w:space="0" w:color="auto"/>
        <w:left w:val="none" w:sz="0" w:space="0" w:color="auto"/>
        <w:bottom w:val="none" w:sz="0" w:space="0" w:color="auto"/>
        <w:right w:val="none" w:sz="0" w:space="0" w:color="auto"/>
      </w:divBdr>
    </w:div>
    <w:div w:id="115699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3</cp:revision>
  <dcterms:created xsi:type="dcterms:W3CDTF">2021-02-08T07:54:00Z</dcterms:created>
  <dcterms:modified xsi:type="dcterms:W3CDTF">2024-01-14T20:15:00Z</dcterms:modified>
</cp:coreProperties>
</file>