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6FF" w:rsidRPr="004806FF" w:rsidRDefault="004806FF" w:rsidP="004806FF">
      <w:pPr>
        <w:rPr>
          <w:b/>
        </w:rPr>
      </w:pPr>
      <w:r w:rsidRPr="004806FF">
        <w:rPr>
          <w:b/>
        </w:rPr>
        <w:t>THE EAST AFRICAN COMMUNITY (</w:t>
      </w:r>
      <w:proofErr w:type="spellStart"/>
      <w:r w:rsidRPr="004806FF">
        <w:rPr>
          <w:b/>
        </w:rPr>
        <w:t>EAC</w:t>
      </w:r>
      <w:proofErr w:type="spellEnd"/>
      <w:r w:rsidRPr="004806FF">
        <w:rPr>
          <w:b/>
        </w:rPr>
        <w:t>)</w:t>
      </w:r>
    </w:p>
    <w:p w:rsidR="004806FF" w:rsidRDefault="004806FF" w:rsidP="004806FF">
      <w:r>
        <w:t>The East African Community (</w:t>
      </w:r>
      <w:proofErr w:type="spellStart"/>
      <w:r>
        <w:t>EAC</w:t>
      </w:r>
      <w:proofErr w:type="spellEnd"/>
      <w:r>
        <w:t xml:space="preserve">) is an intergovernmental organisation comprising five countries in the African Great Lakes region in eastern Africa: Burundi, Kenya, Rwanda, Tanzania and </w:t>
      </w:r>
      <w:proofErr w:type="spellStart"/>
      <w:r>
        <w:t>Uganda.Uhuru</w:t>
      </w:r>
      <w:proofErr w:type="spellEnd"/>
      <w:r>
        <w:t xml:space="preserve"> Kenyatta, the President of the Republic of Kenya, is the </w:t>
      </w:r>
      <w:proofErr w:type="spellStart"/>
      <w:r>
        <w:t>EAC's</w:t>
      </w:r>
      <w:proofErr w:type="spellEnd"/>
      <w:r>
        <w:t xml:space="preserve"> current chairman. The organisation was originally founded in 1967, collapsed in 1977, and was officially revived on 7 July 2000. In 2008, after negotiations with the Southern Africa Development Community (</w:t>
      </w:r>
      <w:proofErr w:type="spellStart"/>
      <w:r>
        <w:t>SADC</w:t>
      </w:r>
      <w:proofErr w:type="spellEnd"/>
      <w:r>
        <w:t>) and the Common Market for Eastern and Southern Africa (</w:t>
      </w:r>
      <w:proofErr w:type="spellStart"/>
      <w:r>
        <w:t>COMESA</w:t>
      </w:r>
      <w:proofErr w:type="spellEnd"/>
      <w:r>
        <w:t xml:space="preserve">), the </w:t>
      </w:r>
      <w:proofErr w:type="spellStart"/>
      <w:r>
        <w:t>EAC</w:t>
      </w:r>
      <w:proofErr w:type="spellEnd"/>
      <w:r>
        <w:t xml:space="preserve"> agreed to an expanded free trade area including the member states of all three organizations. The </w:t>
      </w:r>
      <w:proofErr w:type="spellStart"/>
      <w:r>
        <w:t>EAC</w:t>
      </w:r>
      <w:proofErr w:type="spellEnd"/>
      <w:r>
        <w:t xml:space="preserve"> is an integral part of the African Economic Community.</w:t>
      </w:r>
    </w:p>
    <w:p w:rsidR="004806FF" w:rsidRDefault="004806FF" w:rsidP="004806FF">
      <w:r>
        <w:t xml:space="preserve">The East African Community is a potential precursor to the establishment of the East African Federation, a proposed federation of its five members into a single state. In 2010, the </w:t>
      </w:r>
      <w:proofErr w:type="spellStart"/>
      <w:r>
        <w:t>EAC</w:t>
      </w:r>
      <w:proofErr w:type="spellEnd"/>
      <w:r>
        <w:t xml:space="preserve"> launched its own common market for goods, labour and capital within the region, with the goal of creating a common currency and eventually a full political federation. In 2013 a protocol was signed outlining their plans for launching a monetary union within 10 years.</w:t>
      </w:r>
    </w:p>
    <w:p w:rsidR="004806FF" w:rsidRDefault="004806FF" w:rsidP="004806FF">
      <w:r>
        <w:t xml:space="preserve">Kenya, Tanzania and Uganda have had a history of co-operation dating back to the early 20th century. The customs union between Kenya and Uganda in 1917, which the then Tanganyika joined in 1927, was followed by the East African High Commission from 1948 to 1961, the East African Common Services Organization from 1961 to 1967, and then the 1967 to 1977 East African </w:t>
      </w:r>
      <w:proofErr w:type="spellStart"/>
      <w:r>
        <w:t>Community.Burundi</w:t>
      </w:r>
      <w:proofErr w:type="spellEnd"/>
      <w:r>
        <w:t xml:space="preserve"> and Rwanda joined the </w:t>
      </w:r>
      <w:proofErr w:type="spellStart"/>
      <w:r>
        <w:t>EAC</w:t>
      </w:r>
      <w:proofErr w:type="spellEnd"/>
      <w:r>
        <w:t xml:space="preserve"> on 6 July 2009.</w:t>
      </w:r>
    </w:p>
    <w:p w:rsidR="004806FF" w:rsidRDefault="004806FF" w:rsidP="004806FF">
      <w:r>
        <w:t>Inter-territorial co-operation between the Kenya Colony, the Uganda Protectorate and the Tanganyika Territory was first formalised in 1948 by the East African High Commission. This provided a customs union, a common external tariff, currency and postage; and also dealt with common services in transport and communications, research and education. Following independence, these integrated activities were reconstituted and the High Commission was replaced by the East African Common Services Organisation, which many observers thought would lead to a political federation between the three territories. The new organisation ran into difficulties because of the lack of joint planning and fiscal policy, separate political policies and Kenya's dominant economic position. In 1967 the East African Common Services Organisation was superseded by the East African Community. This body aimed to strengthen the ties between the members through a common market, a common customs tariff and a range of public services so as to achieve balanced economic growth within the region.</w:t>
      </w:r>
    </w:p>
    <w:p w:rsidR="004806FF" w:rsidRDefault="004806FF" w:rsidP="004806FF">
      <w:r>
        <w:t>In 1977, the East African Community collapsed after ten years. Causes for the collapse included demands by Kenya for more seats than Uganda and Tanzania in decision-making organs, disagreements with Ugandan dictator Idi Amin who demanded that Tanzania as a member State of the Community should not harbour forces fighting to topple a government of another member State, and the disparate economic systems of socialism in Tanzania and capitalism in Kenya. The three member states lost over sixty years of co-operation and the benefits of economies of scale, though some Kenyan government officials celebrated the collapse with champagne. Each of the former member states had to embark, at great expense and at lower efficiency, upon the establishment of services and industries that had previously been provided at the Community level.</w:t>
      </w:r>
    </w:p>
    <w:p w:rsidR="004806FF" w:rsidRDefault="004806FF" w:rsidP="004806FF"/>
    <w:p w:rsidR="004806FF" w:rsidRDefault="004806FF" w:rsidP="004806FF">
      <w:r>
        <w:lastRenderedPageBreak/>
        <w:t xml:space="preserve">Later, Presidents </w:t>
      </w:r>
      <w:proofErr w:type="spellStart"/>
      <w:r>
        <w:t>Moi</w:t>
      </w:r>
      <w:proofErr w:type="spellEnd"/>
      <w:r>
        <w:t xml:space="preserve"> of Kenya, </w:t>
      </w:r>
      <w:proofErr w:type="spellStart"/>
      <w:r>
        <w:t>Mwinyi</w:t>
      </w:r>
      <w:proofErr w:type="spellEnd"/>
      <w:r>
        <w:t xml:space="preserve"> of Tanzania, and </w:t>
      </w:r>
      <w:proofErr w:type="spellStart"/>
      <w:r>
        <w:t>Museveni</w:t>
      </w:r>
      <w:proofErr w:type="spellEnd"/>
      <w:r>
        <w:t xml:space="preserve"> of Uganda signed the Treaty for East African Co-operation in </w:t>
      </w:r>
      <w:proofErr w:type="spellStart"/>
      <w:r>
        <w:t>Arusha</w:t>
      </w:r>
      <w:proofErr w:type="spellEnd"/>
      <w:r>
        <w:t>, Tanzania, on 30 November 1993, and established a Tri-partite Commission for Co-operation. A process of re-integration was embarked on involving tripartite programmes of co-operation in political, economic, social and cultural fields, research and technology, defence, security, legal and judicial affairs.</w:t>
      </w:r>
    </w:p>
    <w:p w:rsidR="004806FF" w:rsidRDefault="004806FF" w:rsidP="004806FF">
      <w:r>
        <w:t>The East African Community was finally revived on 30 November 1999, when the Treaty for its re-establishment was signed. It came into force on 7 July 2000, twenty-three years after the total collapse of the defunct erstwhile Community and its organs. A customs union was signed in March 2004 which commenced on 1 January 2005; Kenya, the region's largest exporter, continued to pay duties on goods entering the other four countries on a declining scale until 2010. A common system of tariffs will apply to goods imported from third-party countries.</w:t>
      </w:r>
    </w:p>
    <w:p w:rsidR="004806FF" w:rsidRDefault="004806FF" w:rsidP="004806FF">
      <w:r>
        <w:t xml:space="preserve">It is argued that key drivers for Kenya, Tanzania and Uganda are that Kenya wishes to export surplus capital, Uganda seeks an outlet for its surplus labour and Tanzania wants to realise a Pan-African vision. However, it is argued the commonalities go far deeper. Many of the national elites old enough to remember the former Community often share memories and a sharp sense of loss at its eventual dissolution. More cynically, others argue this historical ambition provides the potential for politicians to present themselves as statesmen of a higher order, as representatives of a greater regional interest. Furthermore, </w:t>
      </w:r>
      <w:proofErr w:type="spellStart"/>
      <w:r>
        <w:t>EAC</w:t>
      </w:r>
      <w:proofErr w:type="spellEnd"/>
      <w:r>
        <w:t xml:space="preserve"> institutions bring significant new powers to dispose and depose to those who serve in them.</w:t>
      </w:r>
    </w:p>
    <w:p w:rsidR="004806FF" w:rsidRDefault="004806FF" w:rsidP="004806FF">
      <w:r>
        <w:t xml:space="preserve">Some question the extent to which the visions of a political union are shared outside the elite and the relatively elderly, further arguing the youthful mass of the population is not well informed about the process in any of the countries, while others point to an enhanced sense of East African identity developing from modern communications. Commitment to the formal </w:t>
      </w:r>
      <w:proofErr w:type="spellStart"/>
      <w:r>
        <w:t>EAC</w:t>
      </w:r>
      <w:proofErr w:type="spellEnd"/>
      <w:r>
        <w:t xml:space="preserve"> idea is relatively narrow, in both social and generational terms, and thus many question the timetable drawn up for the project. Fast-tracking political union was first discussed in 2004 and enjoyed a consensus on the subject among the three presidents of Kenya, Tanzania and Uganda. Thus, a high-level committee headed by Amos Wako of Kenya was commissioned to investigate the possibility of speeding up the process of integration so as to achieve political federation sooner than previously visualised. Yet there are concerns rapid changes would allow popular reactionary politics against the project. There is an argument however, that there are high costs that would be required at the beginning and that fast-tracking the project would allow the benefits to be seen earlier.</w:t>
      </w:r>
    </w:p>
    <w:p w:rsidR="004806FF" w:rsidRPr="004806FF" w:rsidRDefault="004806FF" w:rsidP="004806FF">
      <w:pPr>
        <w:rPr>
          <w:b/>
        </w:rPr>
      </w:pPr>
      <w:r w:rsidRPr="004806FF">
        <w:rPr>
          <w:b/>
        </w:rPr>
        <w:t>Challenges</w:t>
      </w:r>
    </w:p>
    <w:p w:rsidR="00F15C52" w:rsidRDefault="004806FF" w:rsidP="004806FF">
      <w:r>
        <w:t xml:space="preserve">There remain significant political differences between the states. </w:t>
      </w:r>
      <w:proofErr w:type="spellStart"/>
      <w:r>
        <w:t>Museveni's</w:t>
      </w:r>
      <w:proofErr w:type="spellEnd"/>
      <w:r>
        <w:t xml:space="preserve"> success in obtaining his third-term amendment raised doubts in the other countries.</w:t>
      </w:r>
    </w:p>
    <w:p w:rsidR="00F15C52" w:rsidRDefault="004806FF" w:rsidP="004806FF">
      <w:r>
        <w:t xml:space="preserve">The single-party dominance in the Tanzanian and Ugandan parliaments is unattractive to Kenyans, while Kenya's ethnic-politics is not apparent in Tanzania. </w:t>
      </w:r>
    </w:p>
    <w:p w:rsidR="00F15C52" w:rsidRDefault="004806FF" w:rsidP="004806FF">
      <w:r>
        <w:t>Rwanda has a distinctive political culture with a political elite committed to building a developmental state, partly to safeguard the Tutsi group against a return to ethnic violence.</w:t>
      </w:r>
    </w:p>
    <w:p w:rsidR="00F15C52" w:rsidRDefault="004806FF" w:rsidP="004806FF">
      <w:r>
        <w:lastRenderedPageBreak/>
        <w:t xml:space="preserve"> Other problems involve states being reluctant to relinquish involvement in other regional groups, e.g. Tanzania's withdrawal from </w:t>
      </w:r>
      <w:proofErr w:type="spellStart"/>
      <w:r>
        <w:t>COMESA</w:t>
      </w:r>
      <w:proofErr w:type="spellEnd"/>
      <w:r>
        <w:t xml:space="preserve"> but staying within the </w:t>
      </w:r>
      <w:proofErr w:type="spellStart"/>
      <w:r>
        <w:t>SADC</w:t>
      </w:r>
      <w:proofErr w:type="spellEnd"/>
      <w:r>
        <w:t xml:space="preserve"> bloc for the Economic Partnership Agreement negotiations with the European Union. </w:t>
      </w:r>
    </w:p>
    <w:p w:rsidR="004806FF" w:rsidRDefault="004806FF" w:rsidP="004806FF">
      <w:r>
        <w:t>Many Tanzanians are also concerned, because creating a common market means removing obstacles to the free movement of both labour and capital. Free movement of labour may be perceived as highly desirable in Uganda and Kenya, and have important developmental benefits in Tanzania, however in Tanzania there is widespread resistance to the idea of ceding land rights to foreigners, including citizens of Kenya and Uganda.</w:t>
      </w:r>
    </w:p>
    <w:p w:rsidR="004806FF" w:rsidRDefault="004806FF" w:rsidP="004806FF">
      <w:r>
        <w:t xml:space="preserve">While generally the member nations are largely in favour of the East African Federation, informal polls indicate that most Tanzanians (80% of its population) have an unfavourable view. Tanzania has more land than all the other </w:t>
      </w:r>
      <w:proofErr w:type="spellStart"/>
      <w:r>
        <w:t>EAC</w:t>
      </w:r>
      <w:proofErr w:type="spellEnd"/>
      <w:r>
        <w:t xml:space="preserve"> nations combined, and some Tanzanians fear land grabs by the current residents of the other </w:t>
      </w:r>
      <w:proofErr w:type="spellStart"/>
      <w:r>
        <w:t>EAC</w:t>
      </w:r>
      <w:proofErr w:type="spellEnd"/>
      <w:r>
        <w:t xml:space="preserve"> member nations.</w:t>
      </w:r>
    </w:p>
    <w:p w:rsidR="004806FF" w:rsidRPr="004806FF" w:rsidRDefault="004806FF" w:rsidP="004806FF">
      <w:pPr>
        <w:rPr>
          <w:b/>
        </w:rPr>
      </w:pPr>
      <w:r w:rsidRPr="004806FF">
        <w:rPr>
          <w:b/>
        </w:rPr>
        <w:t>East African Court of Justice</w:t>
      </w:r>
    </w:p>
    <w:p w:rsidR="004806FF" w:rsidRDefault="004806FF" w:rsidP="004806FF">
      <w:r>
        <w:t xml:space="preserve">The East African Court of Justice is the judicial arm of the Community. The court has original jurisdiction over the interpretation and application of the 1999 Treaty that re-established the </w:t>
      </w:r>
      <w:proofErr w:type="spellStart"/>
      <w:r>
        <w:t>EAC</w:t>
      </w:r>
      <w:proofErr w:type="spellEnd"/>
      <w:r>
        <w:t xml:space="preserve"> and in the future may have other original, appellate, human rights or other jurisdiction upon conclusion of a protocol to realise such extended jurisdiction. It is temporarily based in </w:t>
      </w:r>
      <w:proofErr w:type="spellStart"/>
      <w:r>
        <w:t>Arusha</w:t>
      </w:r>
      <w:proofErr w:type="spellEnd"/>
      <w:r>
        <w:t>, Tanzania.</w:t>
      </w:r>
    </w:p>
    <w:p w:rsidR="004806FF" w:rsidRPr="004806FF" w:rsidRDefault="004806FF" w:rsidP="004806FF">
      <w:pPr>
        <w:rPr>
          <w:b/>
        </w:rPr>
      </w:pPr>
      <w:r w:rsidRPr="004806FF">
        <w:rPr>
          <w:b/>
        </w:rPr>
        <w:t xml:space="preserve">East African Legislative </w:t>
      </w:r>
      <w:r>
        <w:rPr>
          <w:b/>
        </w:rPr>
        <w:t>Assembly</w:t>
      </w:r>
    </w:p>
    <w:p w:rsidR="004806FF" w:rsidRDefault="004806FF" w:rsidP="004806FF">
      <w:r>
        <w:t>The East African Legislative Assembly (</w:t>
      </w:r>
      <w:proofErr w:type="spellStart"/>
      <w:r>
        <w:t>EALA</w:t>
      </w:r>
      <w:proofErr w:type="spellEnd"/>
      <w:r>
        <w:t xml:space="preserve">) is the legislative arm of the Community. The </w:t>
      </w:r>
      <w:proofErr w:type="spellStart"/>
      <w:r>
        <w:t>EALA</w:t>
      </w:r>
      <w:proofErr w:type="spellEnd"/>
      <w:r>
        <w:t xml:space="preserve"> has 27 members who are all elected by the National Assemblies or Parliaments of the member states of the Community. The </w:t>
      </w:r>
      <w:proofErr w:type="spellStart"/>
      <w:r>
        <w:t>EALA</w:t>
      </w:r>
      <w:proofErr w:type="spellEnd"/>
      <w:r>
        <w:t xml:space="preserve"> has oversight functions on all matters that fall within the Community's work and its functions include debating and approving the budget of the Community, discussing all matters pertaining to the Community and making recommendations to the Council as it may deem necessary for the implementation of the Treaty, liaising with National Assemblies or Parliaments on matters pertaining to the Community and establishing committees for such purposes as it deems necessary. Since being inaugurated in 2001, the </w:t>
      </w:r>
      <w:proofErr w:type="spellStart"/>
      <w:r>
        <w:t>EALA</w:t>
      </w:r>
      <w:proofErr w:type="spellEnd"/>
      <w:r>
        <w:t xml:space="preserve"> has had several sittings as a plenum in </w:t>
      </w:r>
      <w:proofErr w:type="spellStart"/>
      <w:r>
        <w:t>Arusha</w:t>
      </w:r>
      <w:proofErr w:type="spellEnd"/>
      <w:r>
        <w:t>, Kampala, and Nairobi.</w:t>
      </w:r>
    </w:p>
    <w:p w:rsidR="004806FF" w:rsidRDefault="004806FF" w:rsidP="004806FF">
      <w:r>
        <w:t xml:space="preserve">The current Speaker of the Assembly is Margaret </w:t>
      </w:r>
      <w:proofErr w:type="spellStart"/>
      <w:r>
        <w:t>Zziwa</w:t>
      </w:r>
      <w:proofErr w:type="spellEnd"/>
      <w:r>
        <w:t xml:space="preserve"> from Uganda who replaced </w:t>
      </w:r>
      <w:proofErr w:type="spellStart"/>
      <w:r>
        <w:t>Abdirahin</w:t>
      </w:r>
      <w:proofErr w:type="spellEnd"/>
      <w:r>
        <w:t xml:space="preserve"> </w:t>
      </w:r>
      <w:proofErr w:type="spellStart"/>
      <w:r>
        <w:t>Haithar</w:t>
      </w:r>
      <w:proofErr w:type="spellEnd"/>
      <w:r>
        <w:t xml:space="preserve"> H. </w:t>
      </w:r>
      <w:proofErr w:type="spellStart"/>
      <w:r>
        <w:t>Abdi</w:t>
      </w:r>
      <w:proofErr w:type="spellEnd"/>
      <w:r>
        <w:t xml:space="preserve"> from Kenya. The Assembly has been credited with crucial bills, particularly those regarding regional and international trade, including </w:t>
      </w:r>
      <w:proofErr w:type="spellStart"/>
      <w:r>
        <w:t>EAC's</w:t>
      </w:r>
      <w:proofErr w:type="spellEnd"/>
      <w:r>
        <w:t xml:space="preserve"> stand on issues such as the World Trade Organisation and transport on Lake Victoria.</w:t>
      </w:r>
    </w:p>
    <w:p w:rsidR="004806FF" w:rsidRPr="004806FF" w:rsidRDefault="004806FF" w:rsidP="004806FF">
      <w:pPr>
        <w:rPr>
          <w:b/>
        </w:rPr>
      </w:pPr>
      <w:r w:rsidRPr="004806FF">
        <w:rPr>
          <w:b/>
        </w:rPr>
        <w:t>East African passport</w:t>
      </w:r>
    </w:p>
    <w:p w:rsidR="004806FF" w:rsidRDefault="004806FF" w:rsidP="004806FF">
      <w:r>
        <w:t xml:space="preserve">The East African passport was officially launched on 1 April 1999. The East African passport has been introduced as a travel document to ease border crossing for </w:t>
      </w:r>
      <w:proofErr w:type="spellStart"/>
      <w:r>
        <w:t>EAC</w:t>
      </w:r>
      <w:proofErr w:type="spellEnd"/>
      <w:r>
        <w:t xml:space="preserve"> residents. It is valid for travel within the </w:t>
      </w:r>
      <w:proofErr w:type="spellStart"/>
      <w:r>
        <w:t>EAC</w:t>
      </w:r>
      <w:proofErr w:type="spellEnd"/>
      <w:r>
        <w:t xml:space="preserve"> countries only and will entitle the holder to a multi entry stay of renewable six months' validity in any of the countries. The passport is issued in three of the five </w:t>
      </w:r>
      <w:proofErr w:type="spellStart"/>
      <w:r>
        <w:t>EAC</w:t>
      </w:r>
      <w:proofErr w:type="spellEnd"/>
      <w:r>
        <w:t xml:space="preserve"> member states (Kenya, Uganda and Tanzania). The passports are available at the Headquarters of the respective Immigration Departments in Nairobi, Kampala and Dar </w:t>
      </w:r>
      <w:proofErr w:type="spellStart"/>
      <w:r>
        <w:t>es</w:t>
      </w:r>
      <w:proofErr w:type="spellEnd"/>
      <w:r>
        <w:t xml:space="preserve"> Salaam. Only East African nationals may </w:t>
      </w:r>
      <w:r>
        <w:lastRenderedPageBreak/>
        <w:t>apply t</w:t>
      </w:r>
      <w:r w:rsidR="00F15C52">
        <w:t>o be issued with the passports.</w:t>
      </w:r>
      <w:r>
        <w:t xml:space="preserve"> The passport costs US$10 or the equivalent in </w:t>
      </w:r>
      <w:proofErr w:type="spellStart"/>
      <w:r>
        <w:t>EAC</w:t>
      </w:r>
      <w:proofErr w:type="spellEnd"/>
      <w:r>
        <w:t xml:space="preserve"> currencies. Processing of applications for the passports will normally take two to three weeks. Although the passport is only valid within the </w:t>
      </w:r>
      <w:proofErr w:type="spellStart"/>
      <w:r>
        <w:t>EAC</w:t>
      </w:r>
      <w:proofErr w:type="spellEnd"/>
      <w:r>
        <w:t xml:space="preserve">, modalities of internationalising the East African passport were being discussed with the aim towards having a common travel document for </w:t>
      </w:r>
      <w:proofErr w:type="spellStart"/>
      <w:r>
        <w:t>EAC</w:t>
      </w:r>
      <w:proofErr w:type="spellEnd"/>
      <w:r>
        <w:t xml:space="preserve"> residents by 2006.</w:t>
      </w:r>
    </w:p>
    <w:p w:rsidR="00304D20" w:rsidRDefault="004806FF" w:rsidP="004806FF">
      <w:r>
        <w:t>Other measures meant to ease border crossing for East African Community residents include the issuance of interstate passes (which commenced on 1 July 2003), a single immigration Departure/Entry card (adopted by all three member states), the finalisation of harmonised procedures of work permits and the classification process, and the compilation of studies on the Harmonization of Labour Laws and Employment Policies (now in its final stages).</w:t>
      </w:r>
    </w:p>
    <w:p w:rsidR="00B017B9" w:rsidRPr="00B017B9" w:rsidRDefault="00B017B9" w:rsidP="00B017B9">
      <w:pPr>
        <w:rPr>
          <w:b/>
        </w:rPr>
      </w:pPr>
      <w:r w:rsidRPr="00B017B9">
        <w:rPr>
          <w:b/>
        </w:rPr>
        <w:t>MULTINATIONAL CORPORATIONS</w:t>
      </w:r>
    </w:p>
    <w:p w:rsidR="00B017B9" w:rsidRDefault="00B017B9" w:rsidP="00B017B9">
      <w:r>
        <w:t>Multinational Corporation (</w:t>
      </w:r>
      <w:proofErr w:type="spellStart"/>
      <w:r>
        <w:t>MNC</w:t>
      </w:r>
      <w:proofErr w:type="spellEnd"/>
      <w:proofErr w:type="gramStart"/>
      <w:r>
        <w:t>),</w:t>
      </w:r>
      <w:proofErr w:type="gramEnd"/>
      <w:r>
        <w:t xml:space="preserve"> sometimes called transnational corporation or international corporation is a business that produces or distributes products or services in one or more foreign countries by establishing a branch or affiliate there. A branch is a part of a company that is located in another country. An affiliate is a company partially or entirely owned by another company. </w:t>
      </w:r>
      <w:proofErr w:type="spellStart"/>
      <w:r>
        <w:t>MNCs</w:t>
      </w:r>
      <w:proofErr w:type="spellEnd"/>
      <w:r>
        <w:t xml:space="preserve"> engage in foreign direct investment (</w:t>
      </w:r>
      <w:proofErr w:type="spellStart"/>
      <w:r>
        <w:t>FDI</w:t>
      </w:r>
      <w:proofErr w:type="spellEnd"/>
      <w:r>
        <w:t xml:space="preserve">)—that is, investment in one country by citizens of another country. Sometimes such investment involves acquiring an existing company. In other cases </w:t>
      </w:r>
      <w:proofErr w:type="spellStart"/>
      <w:r>
        <w:t>MNCs</w:t>
      </w:r>
      <w:proofErr w:type="spellEnd"/>
      <w:r>
        <w:t xml:space="preserve"> undertake what is known as </w:t>
      </w:r>
      <w:proofErr w:type="gramStart"/>
      <w:r>
        <w:t>greenfield</w:t>
      </w:r>
      <w:proofErr w:type="gramEnd"/>
      <w:r>
        <w:t xml:space="preserve"> investment by creating new facilities or activities.</w:t>
      </w:r>
    </w:p>
    <w:p w:rsidR="00B017B9" w:rsidRDefault="00B017B9" w:rsidP="00B017B9">
      <w:r>
        <w:t>When a multinational invests in a host country, the scale of the investment (given the size of the firms) is likely to be significant. Indeed governments will often offer incentives to firms in the form of grants, subsidies and tax breaks to attract investment into their countries. This foreign direct investment (</w:t>
      </w:r>
      <w:proofErr w:type="spellStart"/>
      <w:r>
        <w:t>FDI</w:t>
      </w:r>
      <w:proofErr w:type="spellEnd"/>
      <w:r>
        <w:t>) will have advantages and disadvantages for the host country.</w:t>
      </w:r>
    </w:p>
    <w:p w:rsidR="00B017B9" w:rsidRPr="00B017B9" w:rsidRDefault="00B017B9" w:rsidP="00B017B9">
      <w:pPr>
        <w:rPr>
          <w:b/>
        </w:rPr>
      </w:pPr>
      <w:r w:rsidRPr="00B017B9">
        <w:rPr>
          <w:b/>
        </w:rPr>
        <w:t>Advantages</w:t>
      </w:r>
    </w:p>
    <w:p w:rsidR="00B017B9" w:rsidRDefault="00B017B9" w:rsidP="00B017B9">
      <w:r>
        <w:t>The possible benefits of a multinational investing in a country may include:</w:t>
      </w:r>
    </w:p>
    <w:p w:rsidR="00B017B9" w:rsidRDefault="00B017B9" w:rsidP="00B017B9">
      <w:r w:rsidRPr="00B017B9">
        <w:rPr>
          <w:b/>
        </w:rPr>
        <w:t>Improving the balance of payments</w:t>
      </w:r>
      <w:r>
        <w:t xml:space="preserve"> - inward investment will usually help a country's balance of payments situation. The investment itself will be a direct flow of capital into the country and the investment is also likely to result in import substitution and export promotion. Export promotion comes due to the multinational using their production facility as a basis for exporting, while import substitution means that products previously imported may now be bought domestically.</w:t>
      </w:r>
    </w:p>
    <w:p w:rsidR="00B017B9" w:rsidRDefault="00B017B9" w:rsidP="00B017B9">
      <w:r w:rsidRPr="00B017B9">
        <w:rPr>
          <w:b/>
        </w:rPr>
        <w:t>Providing employment</w:t>
      </w:r>
      <w:r>
        <w:t xml:space="preserve"> - </w:t>
      </w:r>
      <w:proofErr w:type="spellStart"/>
      <w:r>
        <w:t>FDI</w:t>
      </w:r>
      <w:proofErr w:type="spellEnd"/>
      <w:r>
        <w:t xml:space="preserve"> will usually result in employment benefits for the host country as most employees will be locally recruited. These benefits may be relatively greater given that governments will usually try to attract firms to areas where there is relatively high unemployment or a good labour supply.</w:t>
      </w:r>
    </w:p>
    <w:p w:rsidR="00B017B9" w:rsidRDefault="00B017B9" w:rsidP="00B017B9">
      <w:r w:rsidRPr="00B017B9">
        <w:rPr>
          <w:b/>
        </w:rPr>
        <w:t>Source of tax revenue</w:t>
      </w:r>
      <w:r>
        <w:t xml:space="preserve"> - profits of multinationals will be subject to local taxes in most cases, which will provide a valuable source of revenue for the domestic government.</w:t>
      </w:r>
    </w:p>
    <w:p w:rsidR="00B017B9" w:rsidRDefault="00B017B9" w:rsidP="00B017B9">
      <w:r w:rsidRPr="00B017B9">
        <w:rPr>
          <w:b/>
        </w:rPr>
        <w:t>Technology transfer</w:t>
      </w:r>
      <w:r>
        <w:t xml:space="preserve"> - multinationals will bring with them technology and production methods that are probably new to the host country and a lot can therefore be learnt from these techniques. Workers will be trained to use the new technology and production techniques and domestic firms will see the benefits of the new technology. This process is known as technology transfer.</w:t>
      </w:r>
    </w:p>
    <w:p w:rsidR="00B017B9" w:rsidRDefault="00B017B9" w:rsidP="00B017B9">
      <w:r w:rsidRPr="00B017B9">
        <w:rPr>
          <w:b/>
        </w:rPr>
        <w:lastRenderedPageBreak/>
        <w:t>Increasing choice</w:t>
      </w:r>
      <w:r>
        <w:t xml:space="preserve"> - if the multinational manufactures for domestic markets as well as for export, then the local population will gain form a wider choice of goods and services and at a price possibly lower than imported substitutes.</w:t>
      </w:r>
    </w:p>
    <w:p w:rsidR="00B017B9" w:rsidRDefault="00B017B9" w:rsidP="00B017B9">
      <w:r w:rsidRPr="00B017B9">
        <w:rPr>
          <w:b/>
        </w:rPr>
        <w:t>National reputation</w:t>
      </w:r>
      <w:r>
        <w:t xml:space="preserve"> - the presence of one multinational may improve the reputation of the host country and other large corporations may follow suite and locate as well.</w:t>
      </w:r>
    </w:p>
    <w:p w:rsidR="00B017B9" w:rsidRDefault="00B017B9" w:rsidP="00B017B9">
      <w:bookmarkStart w:id="0" w:name="_GoBack"/>
      <w:bookmarkEnd w:id="0"/>
    </w:p>
    <w:p w:rsidR="00B017B9" w:rsidRPr="00B017B9" w:rsidRDefault="00B017B9" w:rsidP="00B017B9">
      <w:pPr>
        <w:rPr>
          <w:b/>
        </w:rPr>
      </w:pPr>
      <w:r w:rsidRPr="00B017B9">
        <w:rPr>
          <w:b/>
        </w:rPr>
        <w:t>Disadvantages</w:t>
      </w:r>
    </w:p>
    <w:p w:rsidR="00B017B9" w:rsidRDefault="00B017B9" w:rsidP="00B017B9">
      <w:r>
        <w:t>The possible disadvantages of a multinational investing in a country may include:</w:t>
      </w:r>
    </w:p>
    <w:p w:rsidR="00B017B9" w:rsidRDefault="00B017B9" w:rsidP="00B017B9">
      <w:r w:rsidRPr="00B017B9">
        <w:rPr>
          <w:b/>
        </w:rPr>
        <w:t>Environmental impact</w:t>
      </w:r>
      <w:r>
        <w:t xml:space="preserve"> - multinationals will want to produce in ways that are as efficient and as cheap as possible and this may not always be the best environmental practice. They will often lobby governments hard to try to ensure that they can benefit from regulations being as lax as possible and given their economic importance to the host country, this lobbying will often be quite effective.</w:t>
      </w:r>
    </w:p>
    <w:p w:rsidR="00B017B9" w:rsidRDefault="00B017B9" w:rsidP="00B017B9">
      <w:r w:rsidRPr="00B017B9">
        <w:rPr>
          <w:b/>
        </w:rPr>
        <w:t>Access to natural resources</w:t>
      </w:r>
      <w:r>
        <w:t xml:space="preserve"> - multinationals will sometimes invest in countries just to get access to a plentiful supply of raw materials and host nations are often more concerned about the short-term economic benefits than the long-term costs to their country in terms of the depletion of natural resources.</w:t>
      </w:r>
    </w:p>
    <w:p w:rsidR="00B017B9" w:rsidRDefault="00B017B9" w:rsidP="00B017B9">
      <w:r w:rsidRPr="00B017B9">
        <w:rPr>
          <w:b/>
        </w:rPr>
        <w:t xml:space="preserve">Uncertainty </w:t>
      </w:r>
      <w:r>
        <w:t>- multinational firms are increasingly 'footloose'. This means that they can move and change at very short notice and often will. This creates uncertainty for the host country.</w:t>
      </w:r>
    </w:p>
    <w:p w:rsidR="00B017B9" w:rsidRDefault="00B017B9" w:rsidP="00B017B9">
      <w:r w:rsidRPr="00B017B9">
        <w:rPr>
          <w:b/>
        </w:rPr>
        <w:t>Increased competition</w:t>
      </w:r>
      <w:r>
        <w:t xml:space="preserve"> - the impact the local industries can be severe, because the presence of newly arrived multinationals increases the competition in the economy and because multinationals should be able to produce at a lower cost.</w:t>
      </w:r>
    </w:p>
    <w:p w:rsidR="00B017B9" w:rsidRDefault="00B017B9" w:rsidP="00B017B9">
      <w:r w:rsidRPr="00B017B9">
        <w:rPr>
          <w:b/>
        </w:rPr>
        <w:t>Crowding out</w:t>
      </w:r>
      <w:r>
        <w:t xml:space="preserve"> - if overseas firms borrow in the domestic economy this may reduce access to funds and increase interest rates.</w:t>
      </w:r>
    </w:p>
    <w:p w:rsidR="00B017B9" w:rsidRDefault="00B017B9" w:rsidP="00B017B9">
      <w:r w:rsidRPr="00B017B9">
        <w:rPr>
          <w:b/>
        </w:rPr>
        <w:t>Influence and political pressure</w:t>
      </w:r>
      <w:r>
        <w:t xml:space="preserve"> - multinational investment can be very important to a country and this will often give them a disproportionate influence over government and other organisations in the host country. Given their economic importance, governments will often agree to changes that may not be beneficial for the long-term welfare of their people.</w:t>
      </w:r>
    </w:p>
    <w:p w:rsidR="00B017B9" w:rsidRDefault="00B017B9" w:rsidP="00B017B9">
      <w:r w:rsidRPr="00B017B9">
        <w:rPr>
          <w:b/>
        </w:rPr>
        <w:t>Transfer pricing</w:t>
      </w:r>
      <w:r>
        <w:t xml:space="preserve"> - multinationals will always aim to reduce their tax liability to a minimum. One way of doing this is through transfer pricing. The aim of this is to reduce their tax liability in countries with high tax rates and increase them in the countries with low tax rates. They can do this by transferring components and part-finished goods between their operations in different countries at differing prices. Where the tax liability is high, they transfer the goods at a relatively high price to make the costs appear higher. This is then recouped in the lower tax country by transferring the goods at a relatively lower price. This will reduce their overall tax bill.</w:t>
      </w:r>
    </w:p>
    <w:p w:rsidR="00B017B9" w:rsidRDefault="00B017B9" w:rsidP="00B017B9">
      <w:r w:rsidRPr="00B017B9">
        <w:rPr>
          <w:b/>
        </w:rPr>
        <w:t>Low-skilled employment</w:t>
      </w:r>
      <w:r>
        <w:t xml:space="preserve"> - the jobs created in the local environment may be low-skilled with the multinational employing expatriate workers for the more senior and skilled roles.</w:t>
      </w:r>
    </w:p>
    <w:p w:rsidR="00B017B9" w:rsidRDefault="00B017B9" w:rsidP="00B017B9">
      <w:r w:rsidRPr="00B017B9">
        <w:rPr>
          <w:b/>
        </w:rPr>
        <w:lastRenderedPageBreak/>
        <w:t>Health and safety</w:t>
      </w:r>
      <w:r>
        <w:t xml:space="preserve"> - multinationals have been accused of cutting corners on health and safety in countries where regulation and laws are not as rigorous.</w:t>
      </w:r>
    </w:p>
    <w:p w:rsidR="00B017B9" w:rsidRDefault="00B017B9" w:rsidP="00B017B9">
      <w:r w:rsidRPr="00B017B9">
        <w:rPr>
          <w:b/>
        </w:rPr>
        <w:t>Export of Profits</w:t>
      </w:r>
      <w:r>
        <w:t xml:space="preserve"> - large multinational are likely to repatriate profits back to their 'home country', leaving little financial benefits for the host country.</w:t>
      </w:r>
    </w:p>
    <w:p w:rsidR="00B017B9" w:rsidRDefault="00B017B9" w:rsidP="00B017B9">
      <w:r w:rsidRPr="00B017B9">
        <w:rPr>
          <w:b/>
        </w:rPr>
        <w:t>Cultural and social impact</w:t>
      </w:r>
      <w:r>
        <w:t xml:space="preserve"> - large numbers of foreign businesses can dilute local customs and traditional cultures. For example, the sociologist George </w:t>
      </w:r>
      <w:proofErr w:type="spellStart"/>
      <w:r>
        <w:t>Ritzer</w:t>
      </w:r>
      <w:proofErr w:type="spellEnd"/>
      <w:r>
        <w:t xml:space="preserve"> coined the term </w:t>
      </w:r>
      <w:proofErr w:type="spellStart"/>
      <w:r>
        <w:t>McDonaldization</w:t>
      </w:r>
      <w:proofErr w:type="spellEnd"/>
      <w:r>
        <w:t xml:space="preserve"> to describe the process by which more and more sectors of American society as well as of the rest of the world take on the characteristics of a fast-food restaurant, such as increasing standardisation and the movement away from traditional business approaches.</w:t>
      </w:r>
    </w:p>
    <w:sectPr w:rsidR="00B017B9">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0AD5" w:rsidRDefault="00A00AD5" w:rsidP="00B017B9">
      <w:pPr>
        <w:spacing w:after="0" w:line="240" w:lineRule="auto"/>
      </w:pPr>
      <w:r>
        <w:separator/>
      </w:r>
    </w:p>
  </w:endnote>
  <w:endnote w:type="continuationSeparator" w:id="0">
    <w:p w:rsidR="00A00AD5" w:rsidRDefault="00A00AD5" w:rsidP="00B01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4168792"/>
      <w:docPartObj>
        <w:docPartGallery w:val="Page Numbers (Bottom of Page)"/>
        <w:docPartUnique/>
      </w:docPartObj>
    </w:sdtPr>
    <w:sdtEndPr>
      <w:rPr>
        <w:noProof/>
      </w:rPr>
    </w:sdtEndPr>
    <w:sdtContent>
      <w:p w:rsidR="00B017B9" w:rsidRDefault="00B017B9">
        <w:pPr>
          <w:pStyle w:val="Footer"/>
          <w:jc w:val="center"/>
        </w:pPr>
        <w:r>
          <w:fldChar w:fldCharType="begin"/>
        </w:r>
        <w:r>
          <w:instrText xml:space="preserve"> PAGE   \* MERGEFORMAT </w:instrText>
        </w:r>
        <w:r>
          <w:fldChar w:fldCharType="separate"/>
        </w:r>
        <w:r w:rsidR="000D1A21">
          <w:rPr>
            <w:noProof/>
          </w:rPr>
          <w:t>4</w:t>
        </w:r>
        <w:r>
          <w:rPr>
            <w:noProof/>
          </w:rPr>
          <w:fldChar w:fldCharType="end"/>
        </w:r>
      </w:p>
    </w:sdtContent>
  </w:sdt>
  <w:p w:rsidR="00B017B9" w:rsidRDefault="00B017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0AD5" w:rsidRDefault="00A00AD5" w:rsidP="00B017B9">
      <w:pPr>
        <w:spacing w:after="0" w:line="240" w:lineRule="auto"/>
      </w:pPr>
      <w:r>
        <w:separator/>
      </w:r>
    </w:p>
  </w:footnote>
  <w:footnote w:type="continuationSeparator" w:id="0">
    <w:p w:rsidR="00A00AD5" w:rsidRDefault="00A00AD5" w:rsidP="00B017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6FF"/>
    <w:rsid w:val="000D1A21"/>
    <w:rsid w:val="003333D7"/>
    <w:rsid w:val="004806FF"/>
    <w:rsid w:val="004D6D37"/>
    <w:rsid w:val="00A00AD5"/>
    <w:rsid w:val="00B017B9"/>
    <w:rsid w:val="00CF0AEC"/>
    <w:rsid w:val="00F15C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7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7B9"/>
  </w:style>
  <w:style w:type="paragraph" w:styleId="Footer">
    <w:name w:val="footer"/>
    <w:basedOn w:val="Normal"/>
    <w:link w:val="FooterChar"/>
    <w:uiPriority w:val="99"/>
    <w:unhideWhenUsed/>
    <w:rsid w:val="00B017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7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7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7B9"/>
  </w:style>
  <w:style w:type="paragraph" w:styleId="Footer">
    <w:name w:val="footer"/>
    <w:basedOn w:val="Normal"/>
    <w:link w:val="FooterChar"/>
    <w:uiPriority w:val="99"/>
    <w:unhideWhenUsed/>
    <w:rsid w:val="00B017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2568</Words>
  <Characters>14639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3</cp:revision>
  <dcterms:created xsi:type="dcterms:W3CDTF">2014-06-11T16:15:00Z</dcterms:created>
  <dcterms:modified xsi:type="dcterms:W3CDTF">2014-06-15T15:36:00Z</dcterms:modified>
</cp:coreProperties>
</file>