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73B9" w14:textId="71FD0EEE" w:rsidR="008D7176" w:rsidRPr="004D21C1" w:rsidRDefault="008D7176" w:rsidP="008D7176">
      <w:pPr>
        <w:spacing w:line="360" w:lineRule="auto"/>
        <w:rPr>
          <w:rFonts w:ascii="Arial" w:hAnsi="Arial" w:cs="Arial"/>
          <w:b/>
          <w:bCs/>
        </w:rPr>
      </w:pPr>
      <w:r w:rsidRPr="008D7176">
        <w:rPr>
          <w:rFonts w:ascii="Arial" w:hAnsi="Arial" w:cs="Arial"/>
          <w:b/>
          <w:bCs/>
        </w:rPr>
        <w:t>Husai: An AI-Powered School Intelligence Platform for Philippine Public Education</w:t>
      </w:r>
      <w:r w:rsidR="00000000">
        <w:rPr>
          <w:rFonts w:ascii="Arial" w:hAnsi="Arial" w:cs="Arial"/>
        </w:rPr>
        <w:pict w14:anchorId="0D596C0D">
          <v:rect id="_x0000_i1025" style="width:0;height:1.5pt" o:hralign="center" o:hrstd="t" o:hr="t" fillcolor="#a0a0a0" stroked="f"/>
        </w:pict>
      </w:r>
    </w:p>
    <w:p w14:paraId="4F437159" w14:textId="77777777" w:rsidR="008D7176" w:rsidRPr="008D7176" w:rsidRDefault="008D7176" w:rsidP="008D7176">
      <w:pPr>
        <w:spacing w:line="360" w:lineRule="auto"/>
        <w:rPr>
          <w:rFonts w:ascii="Arial" w:hAnsi="Arial" w:cs="Arial"/>
          <w:b/>
          <w:bCs/>
        </w:rPr>
      </w:pPr>
      <w:r w:rsidRPr="008D7176">
        <w:rPr>
          <w:rFonts w:ascii="Arial" w:hAnsi="Arial" w:cs="Arial"/>
          <w:b/>
          <w:bCs/>
        </w:rPr>
        <w:t>1. Problem Statement</w:t>
      </w:r>
    </w:p>
    <w:p w14:paraId="696047CF" w14:textId="77777777" w:rsidR="008D7176" w:rsidRPr="008D7176" w:rsidRDefault="008D7176" w:rsidP="008D7176">
      <w:pPr>
        <w:spacing w:line="360" w:lineRule="auto"/>
        <w:rPr>
          <w:rFonts w:ascii="Arial" w:hAnsi="Arial" w:cs="Arial"/>
          <w:b/>
          <w:bCs/>
        </w:rPr>
      </w:pPr>
      <w:r w:rsidRPr="008D7176">
        <w:rPr>
          <w:rFonts w:ascii="Arial" w:hAnsi="Arial" w:cs="Arial"/>
          <w:b/>
          <w:bCs/>
        </w:rPr>
        <w:t>1.1 The Administrative Crisis in Philippine Public Education</w:t>
      </w:r>
    </w:p>
    <w:p w14:paraId="2DAFC04B" w14:textId="77777777" w:rsidR="008D7176" w:rsidRPr="008D7176" w:rsidRDefault="008D7176" w:rsidP="008D7176">
      <w:pPr>
        <w:spacing w:line="360" w:lineRule="auto"/>
        <w:rPr>
          <w:rFonts w:ascii="Arial" w:hAnsi="Arial" w:cs="Arial"/>
        </w:rPr>
      </w:pPr>
      <w:r w:rsidRPr="008D7176">
        <w:rPr>
          <w:rFonts w:ascii="Arial" w:hAnsi="Arial" w:cs="Arial"/>
        </w:rPr>
        <w:t>The Philippine public school system faces a persistent operational crisis that has gone structurally unresolved for decades: teachers are spending more time on paperwork than on teaching, and the student performance data generated by millions of learners every quarter disappears before it can be meaningfully acted on.</w:t>
      </w:r>
    </w:p>
    <w:p w14:paraId="4A70CCE5" w14:textId="77777777" w:rsidR="008D7176" w:rsidRPr="008D7176" w:rsidRDefault="008D7176" w:rsidP="008D7176">
      <w:pPr>
        <w:spacing w:line="360" w:lineRule="auto"/>
        <w:rPr>
          <w:rFonts w:ascii="Arial" w:hAnsi="Arial" w:cs="Arial"/>
        </w:rPr>
      </w:pPr>
      <w:r w:rsidRPr="008D7176">
        <w:rPr>
          <w:rFonts w:ascii="Arial" w:hAnsi="Arial" w:cs="Arial"/>
        </w:rPr>
        <w:t>Filipino teachers spend nearly 18 hours per week on non-teaching administrative duties — almost double the 10 hours prescribed by DepEd Order No. 002 s. 2024, which explicitly mandates the immediate removal of administrative tasks from teachers (Walker, 2024). These duties include manually encoding grades into class records, filling out SF9 and SF10 compliance forms for every student, writing quarterly narrative reports, tracking attendance across overcrowded classrooms, and generating DepEd-required documentation at the end of every grading period. A comprehensive study surveying over 2,000 schools and 15,000 teachers nationwide confirmed that despite the DepEd order, the burden persists at scale and compliance with departmental reform directives has been consistently difficult to enforce (EDCOM 2, 2025).</w:t>
      </w:r>
    </w:p>
    <w:p w14:paraId="64714A40" w14:textId="77777777" w:rsidR="008D7176" w:rsidRPr="008D7176" w:rsidRDefault="008D7176" w:rsidP="008D7176">
      <w:pPr>
        <w:spacing w:line="360" w:lineRule="auto"/>
        <w:rPr>
          <w:rFonts w:ascii="Arial" w:hAnsi="Arial" w:cs="Arial"/>
        </w:rPr>
      </w:pPr>
      <w:r w:rsidRPr="008D7176">
        <w:rPr>
          <w:rFonts w:ascii="Arial" w:hAnsi="Arial" w:cs="Arial"/>
        </w:rPr>
        <w:t>The EDCOM 2 Second Congressional Commission on Education report further established that current levels of administrative work outweigh the availability of support staff in most public schools, causing the burden to fall back onto teachers regardless of policy directives. Tarraya (2023) identified administrative workload as one of the leading causes of inefficiency in teaching, and Reyes and Cruz found that excessive administrative burden is a primary driver of teacher attrition in the Philippine public school system (as cited in IJRISS, 2025).</w:t>
      </w:r>
    </w:p>
    <w:p w14:paraId="693A6A04" w14:textId="77777777" w:rsidR="008D7176" w:rsidRPr="008D7176" w:rsidRDefault="008D7176" w:rsidP="008D7176">
      <w:pPr>
        <w:spacing w:line="360" w:lineRule="auto"/>
        <w:rPr>
          <w:rFonts w:ascii="Arial" w:hAnsi="Arial" w:cs="Arial"/>
        </w:rPr>
      </w:pPr>
      <w:r w:rsidRPr="008D7176">
        <w:rPr>
          <w:rFonts w:ascii="Arial" w:hAnsi="Arial" w:cs="Arial"/>
        </w:rPr>
        <w:t xml:space="preserve">The consequence of this crisis is not limited to teacher welfare. A 2020 study by the Department of Education identified a statistically significant negative relationship between teacher workload and student achievement, suggesting that teachers </w:t>
      </w:r>
      <w:r w:rsidRPr="008D7176">
        <w:rPr>
          <w:rFonts w:ascii="Arial" w:hAnsi="Arial" w:cs="Arial"/>
        </w:rPr>
        <w:lastRenderedPageBreak/>
        <w:t>burdened with excessive administrative work are measurably less effective in delivering instruction (as cited in Instabrightgazette, 2024). When teachers spend their preparation time on paperwork, students bear the cost.</w:t>
      </w:r>
    </w:p>
    <w:p w14:paraId="01020375" w14:textId="77777777" w:rsidR="008D7176" w:rsidRPr="008D7176" w:rsidRDefault="008D7176" w:rsidP="008D7176">
      <w:pPr>
        <w:spacing w:line="360" w:lineRule="auto"/>
        <w:rPr>
          <w:rFonts w:ascii="Arial" w:hAnsi="Arial" w:cs="Arial"/>
          <w:b/>
          <w:bCs/>
        </w:rPr>
      </w:pPr>
      <w:r w:rsidRPr="008D7176">
        <w:rPr>
          <w:rFonts w:ascii="Arial" w:hAnsi="Arial" w:cs="Arial"/>
          <w:b/>
          <w:bCs/>
        </w:rPr>
        <w:t>1.2 The Student Data Black Hole</w:t>
      </w:r>
    </w:p>
    <w:p w14:paraId="454B577A" w14:textId="77777777" w:rsidR="008D7176" w:rsidRPr="008D7176" w:rsidRDefault="008D7176" w:rsidP="008D7176">
      <w:pPr>
        <w:spacing w:line="360" w:lineRule="auto"/>
        <w:rPr>
          <w:rFonts w:ascii="Arial" w:hAnsi="Arial" w:cs="Arial"/>
        </w:rPr>
      </w:pPr>
      <w:r w:rsidRPr="008D7176">
        <w:rPr>
          <w:rFonts w:ascii="Arial" w:hAnsi="Arial" w:cs="Arial"/>
        </w:rPr>
        <w:t>The administrative overload produces a second, less visible crisis: the near-total absence of meaningful student performance data at any level of the education system.</w:t>
      </w:r>
    </w:p>
    <w:p w14:paraId="7667B118" w14:textId="77777777" w:rsidR="008D7176" w:rsidRPr="008D7176" w:rsidRDefault="008D7176" w:rsidP="008D7176">
      <w:pPr>
        <w:spacing w:line="360" w:lineRule="auto"/>
        <w:rPr>
          <w:rFonts w:ascii="Arial" w:hAnsi="Arial" w:cs="Arial"/>
        </w:rPr>
      </w:pPr>
      <w:r w:rsidRPr="008D7176">
        <w:rPr>
          <w:rFonts w:ascii="Arial" w:hAnsi="Arial" w:cs="Arial"/>
        </w:rPr>
        <w:t xml:space="preserve">A single </w:t>
      </w:r>
      <w:proofErr w:type="gramStart"/>
      <w:r w:rsidRPr="008D7176">
        <w:rPr>
          <w:rFonts w:ascii="Arial" w:hAnsi="Arial" w:cs="Arial"/>
        </w:rPr>
        <w:t>public school</w:t>
      </w:r>
      <w:proofErr w:type="gramEnd"/>
      <w:r w:rsidRPr="008D7176">
        <w:rPr>
          <w:rFonts w:ascii="Arial" w:hAnsi="Arial" w:cs="Arial"/>
        </w:rPr>
        <w:t xml:space="preserve"> teacher in the Philippines manages an average of 100 or more students per section. Between maintaining records, encoding grades, and fulfilling compliance requirements, teachers have no realistic mechanism to track individual student progress with any consistency. As a result, student performance data is recorded incompletely, analyzed rarely, and lost frequently between grading periods. A student who begins struggling in Grade 4 may not be formally identified as at-risk until Grade 6, if at all, because no system exists to surface that signal early enough for intervention.</w:t>
      </w:r>
    </w:p>
    <w:p w14:paraId="0301DFDB" w14:textId="77777777" w:rsidR="008D7176" w:rsidRPr="008D7176" w:rsidRDefault="008D7176" w:rsidP="008D7176">
      <w:pPr>
        <w:spacing w:line="360" w:lineRule="auto"/>
        <w:rPr>
          <w:rFonts w:ascii="Arial" w:hAnsi="Arial" w:cs="Arial"/>
        </w:rPr>
      </w:pPr>
      <w:r w:rsidRPr="008D7176">
        <w:rPr>
          <w:rFonts w:ascii="Arial" w:hAnsi="Arial" w:cs="Arial"/>
        </w:rPr>
        <w:t>At the national level, this compounds into a structural information gap. The Philippines operates its entire public education system — 47,000 or more schools and over 28 million enrolled students — without a single unified, real-time data layer capable of showing how learning is progressing across regions, provinces, and grade levels. All national assessments are periodic, delayed by months, and aggregated to the point where school-level or classroom-level signals are invisible. By the time a systemic problem becomes visible at the policy level, an entire cohort of students has already been affected.</w:t>
      </w:r>
    </w:p>
    <w:p w14:paraId="79F58B07" w14:textId="77777777" w:rsidR="008D7176" w:rsidRPr="008D7176" w:rsidRDefault="008D7176" w:rsidP="008D7176">
      <w:pPr>
        <w:spacing w:line="360" w:lineRule="auto"/>
        <w:rPr>
          <w:rFonts w:ascii="Arial" w:hAnsi="Arial" w:cs="Arial"/>
          <w:b/>
          <w:bCs/>
        </w:rPr>
      </w:pPr>
      <w:r w:rsidRPr="008D7176">
        <w:rPr>
          <w:rFonts w:ascii="Arial" w:hAnsi="Arial" w:cs="Arial"/>
          <w:b/>
          <w:bCs/>
        </w:rPr>
        <w:t>1.3 Why This Problem Is Important</w:t>
      </w:r>
    </w:p>
    <w:p w14:paraId="5BE38DC5" w14:textId="77777777" w:rsidR="008D7176" w:rsidRPr="008D7176" w:rsidRDefault="008D7176" w:rsidP="008D7176">
      <w:pPr>
        <w:spacing w:line="360" w:lineRule="auto"/>
        <w:rPr>
          <w:rFonts w:ascii="Arial" w:hAnsi="Arial" w:cs="Arial"/>
        </w:rPr>
      </w:pPr>
      <w:r w:rsidRPr="008D7176">
        <w:rPr>
          <w:rFonts w:ascii="Arial" w:hAnsi="Arial" w:cs="Arial"/>
        </w:rPr>
        <w:t>Education is the primary mechanism through which individuals escape poverty and through which communities develop economic capacity. When the education system cannot track its own performance at a granular level, it cannot allocate resources efficiently, intervene early where it matters most, or generate the evidence base needed to reform policy effectively.</w:t>
      </w:r>
    </w:p>
    <w:p w14:paraId="43C2A3A5" w14:textId="77777777" w:rsidR="008D7176" w:rsidRPr="008D7176" w:rsidRDefault="008D7176" w:rsidP="008D7176">
      <w:pPr>
        <w:spacing w:line="360" w:lineRule="auto"/>
        <w:rPr>
          <w:rFonts w:ascii="Arial" w:hAnsi="Arial" w:cs="Arial"/>
        </w:rPr>
      </w:pPr>
      <w:r w:rsidRPr="008D7176">
        <w:rPr>
          <w:rFonts w:ascii="Arial" w:hAnsi="Arial" w:cs="Arial"/>
        </w:rPr>
        <w:lastRenderedPageBreak/>
        <w:t>In the Philippine context, this problem is particularly consequential because of scale. With 47,000 or more public schools, 900,000 or more public school teachers, and over 28 million enrolled students, even marginal improvements in the efficiency of record-keeping and the accuracy of early intervention have enormous aggregate impact. Conversely, the current absence of systematic performance tracking means that large numbers of students who could have been identified and supported early are instead left to fall behind without institutional response.</w:t>
      </w:r>
    </w:p>
    <w:p w14:paraId="1D0CCC0F" w14:textId="77777777" w:rsidR="008D7176" w:rsidRPr="008D7176" w:rsidRDefault="008D7176" w:rsidP="008D7176">
      <w:pPr>
        <w:spacing w:line="360" w:lineRule="auto"/>
        <w:rPr>
          <w:rFonts w:ascii="Arial" w:hAnsi="Arial" w:cs="Arial"/>
          <w:b/>
          <w:bCs/>
        </w:rPr>
      </w:pPr>
      <w:r w:rsidRPr="008D7176">
        <w:rPr>
          <w:rFonts w:ascii="Arial" w:hAnsi="Arial" w:cs="Arial"/>
          <w:b/>
          <w:bCs/>
        </w:rPr>
        <w:t>1.4 The ASEAN Context</w:t>
      </w:r>
    </w:p>
    <w:p w14:paraId="0EFD0A22" w14:textId="77777777" w:rsidR="008D7176" w:rsidRPr="008D7176" w:rsidRDefault="008D7176" w:rsidP="008D7176">
      <w:pPr>
        <w:spacing w:line="360" w:lineRule="auto"/>
        <w:rPr>
          <w:rFonts w:ascii="Arial" w:hAnsi="Arial" w:cs="Arial"/>
        </w:rPr>
      </w:pPr>
      <w:r w:rsidRPr="008D7176">
        <w:rPr>
          <w:rFonts w:ascii="Arial" w:hAnsi="Arial" w:cs="Arial"/>
        </w:rPr>
        <w:t>The Philippines is not an outlier in Southeast Asia — it is the most acute and visible example of a regional pattern. Indonesia manages over 500,000 schools with fragmented and inconsistent reporting systems across its archipelago. Vietnam's rapid enrollment growth has outpaced administrative infrastructure in rural provinces. Thailand and Cambodia face similar teacher-to-student ratios in underserved areas, with manual record-keeping remaining standard practice across both systems.</w:t>
      </w:r>
    </w:p>
    <w:p w14:paraId="1C7A740D" w14:textId="77777777" w:rsidR="008D7176" w:rsidRPr="008D7176" w:rsidRDefault="008D7176" w:rsidP="008D7176">
      <w:pPr>
        <w:spacing w:line="360" w:lineRule="auto"/>
        <w:rPr>
          <w:rFonts w:ascii="Arial" w:hAnsi="Arial" w:cs="Arial"/>
        </w:rPr>
      </w:pPr>
      <w:r w:rsidRPr="008D7176">
        <w:rPr>
          <w:rFonts w:ascii="Arial" w:hAnsi="Arial" w:cs="Arial"/>
        </w:rPr>
        <w:t>Across ASEAN, the pattern is structurally consistent: education systems are generating student data that is never captured in a usable form, never analyzed for actionable signals, and never surfaced to the people who could act on it. The problem is one of infrastructure, not intent. Teachers are not unwilling to track student progress — they are structurally unable to do so at the scale demanded of them.</w:t>
      </w:r>
    </w:p>
    <w:p w14:paraId="20C2C4F5" w14:textId="77777777" w:rsidR="008D7176" w:rsidRPr="008D7176" w:rsidRDefault="008D7176" w:rsidP="008D7176">
      <w:pPr>
        <w:spacing w:line="360" w:lineRule="auto"/>
        <w:rPr>
          <w:rFonts w:ascii="Arial" w:hAnsi="Arial" w:cs="Arial"/>
        </w:rPr>
      </w:pPr>
      <w:r w:rsidRPr="008D7176">
        <w:rPr>
          <w:rFonts w:ascii="Arial" w:hAnsi="Arial" w:cs="Arial"/>
        </w:rPr>
        <w:t>The Philippines is the right starting point for a solution because the pain is acute, DepEd has demonstrated regulatory will to reform (as evidenced by DepEd Order No. 002 s. 2024), and the scale of the system makes it the largest possible proof of concept in the region. A solution that works for 47,000 Philippine public schools is a solution that can work for any education system in ASEAN.</w:t>
      </w:r>
    </w:p>
    <w:p w14:paraId="6B0AA140" w14:textId="77777777" w:rsidR="008D7176" w:rsidRPr="008D7176" w:rsidRDefault="00000000" w:rsidP="008D7176">
      <w:pPr>
        <w:spacing w:line="360" w:lineRule="auto"/>
        <w:rPr>
          <w:rFonts w:ascii="Arial" w:hAnsi="Arial" w:cs="Arial"/>
        </w:rPr>
      </w:pPr>
      <w:r>
        <w:rPr>
          <w:rFonts w:ascii="Arial" w:hAnsi="Arial" w:cs="Arial"/>
        </w:rPr>
        <w:pict w14:anchorId="3A92EF16">
          <v:rect id="_x0000_i1026" style="width:0;height:1.5pt" o:hralign="center" o:hrstd="t" o:hr="t" fillcolor="#a0a0a0" stroked="f"/>
        </w:pict>
      </w:r>
    </w:p>
    <w:p w14:paraId="11D90193" w14:textId="77777777" w:rsidR="008D7176" w:rsidRPr="008D7176" w:rsidRDefault="008D7176" w:rsidP="008D7176">
      <w:pPr>
        <w:spacing w:line="360" w:lineRule="auto"/>
        <w:rPr>
          <w:rFonts w:ascii="Arial" w:hAnsi="Arial" w:cs="Arial"/>
          <w:b/>
          <w:bCs/>
        </w:rPr>
      </w:pPr>
      <w:r w:rsidRPr="008D7176">
        <w:rPr>
          <w:rFonts w:ascii="Arial" w:hAnsi="Arial" w:cs="Arial"/>
          <w:b/>
          <w:bCs/>
        </w:rPr>
        <w:t>2. Target Beneficiary Group</w:t>
      </w:r>
    </w:p>
    <w:p w14:paraId="4D1E187A" w14:textId="77777777" w:rsidR="008D7176" w:rsidRPr="008D7176" w:rsidRDefault="008D7176" w:rsidP="008D7176">
      <w:pPr>
        <w:spacing w:line="360" w:lineRule="auto"/>
        <w:rPr>
          <w:rFonts w:ascii="Arial" w:hAnsi="Arial" w:cs="Arial"/>
          <w:b/>
          <w:bCs/>
        </w:rPr>
      </w:pPr>
      <w:r w:rsidRPr="008D7176">
        <w:rPr>
          <w:rFonts w:ascii="Arial" w:hAnsi="Arial" w:cs="Arial"/>
          <w:b/>
          <w:bCs/>
        </w:rPr>
        <w:t>2.1 Primary Beneficiaries</w:t>
      </w:r>
    </w:p>
    <w:p w14:paraId="169DE361" w14:textId="77777777" w:rsidR="008D7176" w:rsidRPr="008D7176" w:rsidRDefault="008D7176" w:rsidP="008D7176">
      <w:pPr>
        <w:spacing w:line="360" w:lineRule="auto"/>
        <w:rPr>
          <w:rFonts w:ascii="Arial" w:hAnsi="Arial" w:cs="Arial"/>
        </w:rPr>
      </w:pPr>
      <w:r w:rsidRPr="008D7176">
        <w:rPr>
          <w:rFonts w:ascii="Arial" w:hAnsi="Arial" w:cs="Arial"/>
          <w:b/>
          <w:bCs/>
        </w:rPr>
        <w:lastRenderedPageBreak/>
        <w:t>Public School Teachers.</w:t>
      </w:r>
      <w:r w:rsidRPr="008D7176">
        <w:rPr>
          <w:rFonts w:ascii="Arial" w:hAnsi="Arial" w:cs="Arial"/>
        </w:rPr>
        <w:t xml:space="preserve"> The most direct beneficiaries of Husai are the approximately 900,000 teachers in the Philippine public school system. Teachers are the primary users of the Teacher View, which automates record-keeping, surfaces at-risk students, and generates SF9 and SF10 compliance documents from data that already exists in the system. The estimated reduction in administrative time is 40 to 60 percent per grading period — time that is returned to lesson preparation, student engagement, and individualized instruction.</w:t>
      </w:r>
    </w:p>
    <w:p w14:paraId="4228B8A9" w14:textId="77777777" w:rsidR="008D7176" w:rsidRPr="008D7176" w:rsidRDefault="008D7176" w:rsidP="008D7176">
      <w:pPr>
        <w:spacing w:line="360" w:lineRule="auto"/>
        <w:rPr>
          <w:rFonts w:ascii="Arial" w:hAnsi="Arial" w:cs="Arial"/>
        </w:rPr>
      </w:pPr>
      <w:r w:rsidRPr="008D7176">
        <w:rPr>
          <w:rFonts w:ascii="Arial" w:hAnsi="Arial" w:cs="Arial"/>
          <w:b/>
          <w:bCs/>
        </w:rPr>
        <w:t>K-12 Students.</w:t>
      </w:r>
      <w:r w:rsidRPr="008D7176">
        <w:rPr>
          <w:rFonts w:ascii="Arial" w:hAnsi="Arial" w:cs="Arial"/>
        </w:rPr>
        <w:t xml:space="preserve"> Over 28 million enrolled students in the Philippine public school system benefit from Husai, primarily through earlier and more accurate identification of academic risk. When teachers are freed from administrative burden, they have more time for instruction. When at-risk students are identified weeks earlier than current manual processes allow, interventions can be applied before academic decline becomes entrenched. Students also gain access to their own longitudinal learning profile through the Student View, giving them visibility into their academic trajectory that most currently lack.</w:t>
      </w:r>
    </w:p>
    <w:p w14:paraId="2F40FC9E" w14:textId="77777777" w:rsidR="008D7176" w:rsidRPr="008D7176" w:rsidRDefault="008D7176" w:rsidP="008D7176">
      <w:pPr>
        <w:spacing w:line="360" w:lineRule="auto"/>
        <w:rPr>
          <w:rFonts w:ascii="Arial" w:hAnsi="Arial" w:cs="Arial"/>
        </w:rPr>
      </w:pPr>
      <w:r w:rsidRPr="008D7176">
        <w:rPr>
          <w:rFonts w:ascii="Arial" w:hAnsi="Arial" w:cs="Arial"/>
          <w:b/>
          <w:bCs/>
        </w:rPr>
        <w:t>School Administrators.</w:t>
      </w:r>
      <w:r w:rsidRPr="008D7176">
        <w:rPr>
          <w:rFonts w:ascii="Arial" w:hAnsi="Arial" w:cs="Arial"/>
        </w:rPr>
        <w:t xml:space="preserve"> Principals and administrators across 47,000 or more public schools gain a real-time school health dashboard that replaces manually compiled quarterly reports. The Admin View surfaces section-level performance comparisons, attendance trends, and dropout risk signals in a format that enables faster, more informed decision-making.</w:t>
      </w:r>
    </w:p>
    <w:p w14:paraId="6B280F57" w14:textId="77777777" w:rsidR="008D7176" w:rsidRPr="008D7176" w:rsidRDefault="008D7176" w:rsidP="008D7176">
      <w:pPr>
        <w:spacing w:line="360" w:lineRule="auto"/>
        <w:rPr>
          <w:rFonts w:ascii="Arial" w:hAnsi="Arial" w:cs="Arial"/>
        </w:rPr>
      </w:pPr>
      <w:r w:rsidRPr="008D7176">
        <w:rPr>
          <w:rFonts w:ascii="Arial" w:hAnsi="Arial" w:cs="Arial"/>
          <w:b/>
          <w:bCs/>
        </w:rPr>
        <w:t>Parents and Guardians.</w:t>
      </w:r>
      <w:r w:rsidRPr="008D7176">
        <w:rPr>
          <w:rFonts w:ascii="Arial" w:hAnsi="Arial" w:cs="Arial"/>
        </w:rPr>
        <w:t xml:space="preserve"> AI-generated progress summaries in plain Filipino are distributed to parents at the end of each quarter. For many parents — particularly those in lower-income households with limited time and literacy — this represents the first structured, accessible update on their child's academic trajectory they have received. The goal is not to replace teacher-parent communication but to supplement it with consistent, clear information.</w:t>
      </w:r>
    </w:p>
    <w:p w14:paraId="7AE1638E" w14:textId="77777777" w:rsidR="008D7176" w:rsidRPr="008D7176" w:rsidRDefault="008D7176" w:rsidP="008D7176">
      <w:pPr>
        <w:spacing w:line="360" w:lineRule="auto"/>
        <w:rPr>
          <w:rFonts w:ascii="Arial" w:hAnsi="Arial" w:cs="Arial"/>
        </w:rPr>
      </w:pPr>
      <w:r w:rsidRPr="008D7176">
        <w:rPr>
          <w:rFonts w:ascii="Arial" w:hAnsi="Arial" w:cs="Arial"/>
          <w:b/>
          <w:bCs/>
        </w:rPr>
        <w:t>DepEd (Future Roadmap).</w:t>
      </w:r>
      <w:r w:rsidRPr="008D7176">
        <w:rPr>
          <w:rFonts w:ascii="Arial" w:hAnsi="Arial" w:cs="Arial"/>
        </w:rPr>
        <w:t xml:space="preserve"> As Husai scales nationally, regional and national DepEd officers gain access to the first live, unified national education data layer in Philippine history. The DepEd View provides a heatmap of school performance by region, </w:t>
      </w:r>
      <w:r w:rsidRPr="008D7176">
        <w:rPr>
          <w:rFonts w:ascii="Arial" w:hAnsi="Arial" w:cs="Arial"/>
        </w:rPr>
        <w:lastRenderedPageBreak/>
        <w:t>province, and municipality, enabling evidence-based resource allocation and early national intervention in underperforming areas.</w:t>
      </w:r>
    </w:p>
    <w:p w14:paraId="33B52E9B" w14:textId="77777777" w:rsidR="008D7176" w:rsidRPr="008D7176" w:rsidRDefault="008D7176" w:rsidP="008D7176">
      <w:pPr>
        <w:spacing w:line="360" w:lineRule="auto"/>
        <w:rPr>
          <w:rFonts w:ascii="Arial" w:hAnsi="Arial" w:cs="Arial"/>
          <w:b/>
          <w:bCs/>
        </w:rPr>
      </w:pPr>
      <w:r w:rsidRPr="008D7176">
        <w:rPr>
          <w:rFonts w:ascii="Arial" w:hAnsi="Arial" w:cs="Arial"/>
          <w:b/>
          <w:bCs/>
        </w:rPr>
        <w:t>2.2 Secondary Beneficiaries</w:t>
      </w:r>
    </w:p>
    <w:p w14:paraId="48C9B910" w14:textId="77777777" w:rsidR="008D7176" w:rsidRPr="008D7176" w:rsidRDefault="008D7176" w:rsidP="008D7176">
      <w:pPr>
        <w:spacing w:line="360" w:lineRule="auto"/>
        <w:rPr>
          <w:rFonts w:ascii="Arial" w:hAnsi="Arial" w:cs="Arial"/>
        </w:rPr>
      </w:pPr>
      <w:r w:rsidRPr="008D7176">
        <w:rPr>
          <w:rFonts w:ascii="Arial" w:hAnsi="Arial" w:cs="Arial"/>
        </w:rPr>
        <w:t>As the national dataset grows, Husai's anonymized and aggregated data becomes an input layer for a broader set of institutions and use cases. Urban planners at the LGU and DPWH level can use school enrollment trends as leading indicators of population growth. Public health officials can cross-reference attendance patterns with health data to detect early signals of illness outbreaks. Workforce development agencies like TESDA can use subject-level performance trends to forecast regional skills gaps years in advance. Research institutions including PIDS, the University of the Philippines, and international bodies like the World Bank gain access to longitudinal education data at a resolution that has never previously existed in the Philippine context.</w:t>
      </w:r>
    </w:p>
    <w:p w14:paraId="7DCD82F6" w14:textId="77777777" w:rsidR="008D7176" w:rsidRPr="008D7176" w:rsidRDefault="00000000" w:rsidP="008D7176">
      <w:pPr>
        <w:spacing w:line="360" w:lineRule="auto"/>
        <w:rPr>
          <w:rFonts w:ascii="Arial" w:hAnsi="Arial" w:cs="Arial"/>
        </w:rPr>
      </w:pPr>
      <w:r>
        <w:rPr>
          <w:rFonts w:ascii="Arial" w:hAnsi="Arial" w:cs="Arial"/>
        </w:rPr>
        <w:pict w14:anchorId="31EAF9F5">
          <v:rect id="_x0000_i1027" style="width:0;height:1.5pt" o:hralign="center" o:hrstd="t" o:hr="t" fillcolor="#a0a0a0" stroked="f"/>
        </w:pict>
      </w:r>
    </w:p>
    <w:p w14:paraId="502603A3" w14:textId="77777777" w:rsidR="008D7176" w:rsidRPr="008D7176" w:rsidRDefault="008D7176" w:rsidP="008D7176">
      <w:pPr>
        <w:spacing w:line="360" w:lineRule="auto"/>
        <w:rPr>
          <w:rFonts w:ascii="Arial" w:hAnsi="Arial" w:cs="Arial"/>
          <w:b/>
          <w:bCs/>
        </w:rPr>
      </w:pPr>
      <w:r w:rsidRPr="008D7176">
        <w:rPr>
          <w:rFonts w:ascii="Arial" w:hAnsi="Arial" w:cs="Arial"/>
          <w:b/>
          <w:bCs/>
        </w:rPr>
        <w:t>3. Use of AI</w:t>
      </w:r>
    </w:p>
    <w:p w14:paraId="5D66702F" w14:textId="77777777" w:rsidR="008D7176" w:rsidRPr="008D7176" w:rsidRDefault="008D7176" w:rsidP="008D7176">
      <w:pPr>
        <w:spacing w:line="360" w:lineRule="auto"/>
        <w:rPr>
          <w:rFonts w:ascii="Arial" w:hAnsi="Arial" w:cs="Arial"/>
          <w:b/>
          <w:bCs/>
        </w:rPr>
      </w:pPr>
      <w:r w:rsidRPr="008D7176">
        <w:rPr>
          <w:rFonts w:ascii="Arial" w:hAnsi="Arial" w:cs="Arial"/>
          <w:b/>
          <w:bCs/>
        </w:rPr>
        <w:t>3.1 Why AI Is the Appropriate Approach</w:t>
      </w:r>
    </w:p>
    <w:p w14:paraId="3DEAB176" w14:textId="77777777" w:rsidR="008D7176" w:rsidRPr="008D7176" w:rsidRDefault="008D7176" w:rsidP="008D7176">
      <w:pPr>
        <w:spacing w:line="360" w:lineRule="auto"/>
        <w:rPr>
          <w:rFonts w:ascii="Arial" w:hAnsi="Arial" w:cs="Arial"/>
        </w:rPr>
      </w:pPr>
      <w:r w:rsidRPr="008D7176">
        <w:rPr>
          <w:rFonts w:ascii="Arial" w:hAnsi="Arial" w:cs="Arial"/>
        </w:rPr>
        <w:t>The problem Husai addresses is not a lack of data — teachers generate substantial data through every quiz, attendance record, and observation. The problem is a lack of capacity to process that data at the scale demanded by Philippine classroom conditions. A teacher managing 100 or more students generates thousands of individual academic data points every quarter. No manual system can synthesize those signals, identify at-risk patterns, generate compliance documents, and surface actionable insights simultaneously and consistently. Artificial intelligence is the only technically feasible approach to this problem at this scale.</w:t>
      </w:r>
    </w:p>
    <w:p w14:paraId="6FA6D567" w14:textId="77777777" w:rsidR="008D7176" w:rsidRPr="008D7176" w:rsidRDefault="008D7176" w:rsidP="008D7176">
      <w:pPr>
        <w:spacing w:line="360" w:lineRule="auto"/>
        <w:rPr>
          <w:rFonts w:ascii="Arial" w:hAnsi="Arial" w:cs="Arial"/>
        </w:rPr>
      </w:pPr>
      <w:r w:rsidRPr="008D7176">
        <w:rPr>
          <w:rFonts w:ascii="Arial" w:hAnsi="Arial" w:cs="Arial"/>
        </w:rPr>
        <w:t xml:space="preserve">AI is also appropriate here because the task structure is well-defined. Dropout prediction from structured tabular data, document generation from structured input, competency classification from assessment responses, and insight generation from aggregated academic signals are all problems for which AI approaches have demonstrated strong performance in published research. Husai does not require AI to </w:t>
      </w:r>
      <w:r w:rsidRPr="008D7176">
        <w:rPr>
          <w:rFonts w:ascii="Arial" w:hAnsi="Arial" w:cs="Arial"/>
        </w:rPr>
        <w:lastRenderedPageBreak/>
        <w:t>solve open-ended or ambiguous problems — it requires AI to automate high-volume, structured tasks that are currently performed manually at enormous cost to teacher time and accuracy.</w:t>
      </w:r>
    </w:p>
    <w:p w14:paraId="6E55D2F1" w14:textId="77777777" w:rsidR="008D7176" w:rsidRPr="008D7176" w:rsidRDefault="008D7176" w:rsidP="008D7176">
      <w:pPr>
        <w:spacing w:line="360" w:lineRule="auto"/>
        <w:rPr>
          <w:rFonts w:ascii="Arial" w:hAnsi="Arial" w:cs="Arial"/>
          <w:b/>
          <w:bCs/>
        </w:rPr>
      </w:pPr>
      <w:r w:rsidRPr="008D7176">
        <w:rPr>
          <w:rFonts w:ascii="Arial" w:hAnsi="Arial" w:cs="Arial"/>
          <w:b/>
          <w:bCs/>
        </w:rPr>
        <w:t>3.2 AI Components and Technical Approach</w:t>
      </w:r>
    </w:p>
    <w:p w14:paraId="6D8A5192" w14:textId="77777777" w:rsidR="008D7176" w:rsidRPr="008D7176" w:rsidRDefault="008D7176" w:rsidP="008D7176">
      <w:pPr>
        <w:spacing w:line="360" w:lineRule="auto"/>
        <w:rPr>
          <w:rFonts w:ascii="Arial" w:hAnsi="Arial" w:cs="Arial"/>
        </w:rPr>
      </w:pPr>
      <w:r w:rsidRPr="008D7176">
        <w:rPr>
          <w:rFonts w:ascii="Arial" w:hAnsi="Arial" w:cs="Arial"/>
          <w:b/>
          <w:bCs/>
        </w:rPr>
        <w:t>At-Risk Detection Engine.</w:t>
      </w:r>
      <w:r w:rsidRPr="008D7176">
        <w:rPr>
          <w:rFonts w:ascii="Arial" w:hAnsi="Arial" w:cs="Arial"/>
        </w:rPr>
        <w:t xml:space="preserve"> The core predictive component of Husai is a custom-trained gradient boosting model using LightGBM with Optuna hyperparameter optimization. The model is trained on a merged corpus of four open-access datasets covering student attendance patterns, grade trajectories, assignment completion rates, motivation signals, and behavioral engagement indicators, totaling approximately 20,000 student records. Class imbalance — inherent in dropout prediction datasets where at-risk students are a minority — is addressed using SMOTE (Synthetic Minority Oversampling Technique) applied exclusively to the training split.</w:t>
      </w:r>
    </w:p>
    <w:p w14:paraId="6E684F23" w14:textId="77777777" w:rsidR="008D7176" w:rsidRPr="008D7176" w:rsidRDefault="008D7176" w:rsidP="008D7176">
      <w:pPr>
        <w:spacing w:line="360" w:lineRule="auto"/>
        <w:rPr>
          <w:rFonts w:ascii="Arial" w:hAnsi="Arial" w:cs="Arial"/>
        </w:rPr>
      </w:pPr>
      <w:r w:rsidRPr="008D7176">
        <w:rPr>
          <w:rFonts w:ascii="Arial" w:hAnsi="Arial" w:cs="Arial"/>
        </w:rPr>
        <w:t>The model outputs a 0 to 1 risk score for each student, along with SHAP (SHapley Additive exPlanations) values that identify the top contributing factors to any given student's risk classification. Both the risk score and the SHAP-derived risk factors are written into the student JSON snapshot, making them available to all downstream components without redundant computation. Training our own model rather than using a general-purpose API is justified on two grounds: first, LightGBM with Optuna tuning has been shown to outperform all classical classification methods for structured tabular education data with an F1-score exceeding 0.84 (Bertolini et al., 2024); second, training on Philippine school data allows the model to capture local contextual factors — DepEd grading periods, class sizes of 100 or more, quarterly promotion policies, and regional variance — that global models do not reflect.</w:t>
      </w:r>
    </w:p>
    <w:p w14:paraId="32B0F0B8" w14:textId="77777777" w:rsidR="008D7176" w:rsidRPr="008D7176" w:rsidRDefault="008D7176" w:rsidP="008D7176">
      <w:pPr>
        <w:spacing w:line="360" w:lineRule="auto"/>
        <w:rPr>
          <w:rFonts w:ascii="Arial" w:hAnsi="Arial" w:cs="Arial"/>
        </w:rPr>
      </w:pPr>
      <w:r w:rsidRPr="008D7176">
        <w:rPr>
          <w:rFonts w:ascii="Arial" w:hAnsi="Arial" w:cs="Arial"/>
          <w:b/>
          <w:bCs/>
        </w:rPr>
        <w:t>Report Generation Engine.</w:t>
      </w:r>
      <w:r w:rsidRPr="008D7176">
        <w:rPr>
          <w:rFonts w:ascii="Arial" w:hAnsi="Arial" w:cs="Arial"/>
        </w:rPr>
        <w:t xml:space="preserve"> The SF9 and SF10 narrative generation component uses Llama 3 8B fine-tuned via QLoRA (Quantized Low-Rank Adaptation), a parameter-efficient fine-tuning method that achieves performance comparable to full fine-tuning while fitting on a single GPU (Dettmers et al., 2023). The model is trained on synthetic instruction pairs formatted as structured student data input mapped to DepEd-compliant narrative output. The training data is generated programmatically using a purpose-built Python script that produces 1,000 diverse student scenarios with accurate GWA </w:t>
      </w:r>
      <w:r w:rsidRPr="008D7176">
        <w:rPr>
          <w:rFonts w:ascii="Arial" w:hAnsi="Arial" w:cs="Arial"/>
        </w:rPr>
        <w:lastRenderedPageBreak/>
        <w:t>computations, attendance rates, subject trend classifications, and DepEd MELC competency code references in weak-subject narratives.</w:t>
      </w:r>
    </w:p>
    <w:p w14:paraId="490F9830" w14:textId="77777777" w:rsidR="008D7176" w:rsidRPr="008D7176" w:rsidRDefault="008D7176" w:rsidP="008D7176">
      <w:pPr>
        <w:spacing w:line="360" w:lineRule="auto"/>
        <w:rPr>
          <w:rFonts w:ascii="Arial" w:hAnsi="Arial" w:cs="Arial"/>
        </w:rPr>
      </w:pPr>
      <w:r w:rsidRPr="008D7176">
        <w:rPr>
          <w:rFonts w:ascii="Arial" w:hAnsi="Arial" w:cs="Arial"/>
        </w:rPr>
        <w:t>The decision to use a locally hosted fine-tuned model rather than an API for this component is driven by two considerations. First, SF9 and SF10 narratives contain student academic records and therefore constitute sensitive data under Philippine privacy law; self-hosting ensures this data never leaves Husai's infrastructure. Second, at the scale of 100 students per teacher across thousands of schools, per-call API costs for document generation would become structurally prohibitive. A locally served model generates narratives at zero marginal cost per call once trained. Guo et al. (2024) demonstrated that fine-tuned language models generate effective and accurate evaluation narratives for student records, including on synthetically augmented training sets, providing research precedent for this approach.</w:t>
      </w:r>
    </w:p>
    <w:p w14:paraId="764E3F01" w14:textId="77777777" w:rsidR="008D7176" w:rsidRPr="008D7176" w:rsidRDefault="008D7176" w:rsidP="008D7176">
      <w:pPr>
        <w:spacing w:line="360" w:lineRule="auto"/>
        <w:rPr>
          <w:rFonts w:ascii="Arial" w:hAnsi="Arial" w:cs="Arial"/>
        </w:rPr>
      </w:pPr>
      <w:r w:rsidRPr="008D7176">
        <w:rPr>
          <w:rFonts w:ascii="Arial" w:hAnsi="Arial" w:cs="Arial"/>
          <w:b/>
          <w:bCs/>
        </w:rPr>
        <w:t>Learning Gap Classifier.</w:t>
      </w:r>
      <w:r w:rsidRPr="008D7176">
        <w:rPr>
          <w:rFonts w:ascii="Arial" w:hAnsi="Arial" w:cs="Arial"/>
        </w:rPr>
        <w:t xml:space="preserve"> This component maps quiz and assessment responses to DepEd MELC (Most Essential Learning Competency) codes, identifying which specific competency a class is most commonly missing rather than simply flagging which subject has low scores. The distinction matters for instructional response: a teacher who knows that 68 percent of their class is failing MELC M5NS-IIf (fractions with dissimilar denominators) can plan a targeted re-teaching session, whereas a teacher who only knows that Math scores are low has no actionable direction. The classifier uses bert-base-multilingual-cased, chosen specifically because Filipino teacher notes and quiz content frequently mix Filipino, Taglish, and English — a linguistic pattern that monolingual BERT models cannot handle reliably.</w:t>
      </w:r>
    </w:p>
    <w:p w14:paraId="32D3F3D6" w14:textId="77777777" w:rsidR="008D7176" w:rsidRPr="008D7176" w:rsidRDefault="008D7176" w:rsidP="008D7176">
      <w:pPr>
        <w:spacing w:line="360" w:lineRule="auto"/>
        <w:rPr>
          <w:rFonts w:ascii="Arial" w:hAnsi="Arial" w:cs="Arial"/>
        </w:rPr>
      </w:pPr>
      <w:r w:rsidRPr="008D7176">
        <w:rPr>
          <w:rFonts w:ascii="Arial" w:hAnsi="Arial" w:cs="Arial"/>
          <w:b/>
          <w:bCs/>
        </w:rPr>
        <w:t>Mahusai Insights Engine.</w:t>
      </w:r>
      <w:r w:rsidRPr="008D7176">
        <w:rPr>
          <w:rFonts w:ascii="Arial" w:hAnsi="Arial" w:cs="Arial"/>
        </w:rPr>
        <w:t xml:space="preserve"> This component generates natural language insight cards for students and teachers using the Claude API. For students, it produces three cards per quarter — an alert for subjects with declining grades, a strength recognition for areas of consistent improvement, and an attendance or general observation note. For teachers, it generates four class-level cards — a critical flag for multiple students declining across consecutive quarters, a warning for MELC competencies with widespread failure, a neutral informational observation, and a positive recognition of class-wide progress. The prompts are engineered to reference specific MELC codes </w:t>
      </w:r>
      <w:r w:rsidRPr="008D7176">
        <w:rPr>
          <w:rFonts w:ascii="Arial" w:hAnsi="Arial" w:cs="Arial"/>
        </w:rPr>
        <w:lastRenderedPageBreak/>
        <w:t>when flagging weaknesses, to maintain a warm and encouraging tone for student-facing cards, and to maintain a direct professional tone for teacher-facing cards. No personally identifiable information is included in the prompt — only anonymized academic signals derived from the student JSON snapshot.</w:t>
      </w:r>
    </w:p>
    <w:p w14:paraId="083E36EE" w14:textId="77777777" w:rsidR="008D7176" w:rsidRPr="008D7176" w:rsidRDefault="008D7176" w:rsidP="008D7176">
      <w:pPr>
        <w:spacing w:line="360" w:lineRule="auto"/>
        <w:rPr>
          <w:rFonts w:ascii="Arial" w:hAnsi="Arial" w:cs="Arial"/>
        </w:rPr>
      </w:pPr>
      <w:r w:rsidRPr="008D7176">
        <w:rPr>
          <w:rFonts w:ascii="Arial" w:hAnsi="Arial" w:cs="Arial"/>
          <w:b/>
          <w:bCs/>
        </w:rPr>
        <w:t>Natural Language Query Interface.</w:t>
      </w:r>
      <w:r w:rsidRPr="008D7176">
        <w:rPr>
          <w:rFonts w:ascii="Arial" w:hAnsi="Arial" w:cs="Arial"/>
        </w:rPr>
        <w:t xml:space="preserve"> Teachers and administrators can ask plain-language questions against their data — for example, which students have been absent more than five times this quarter, or which section has the lowest average in </w:t>
      </w:r>
      <w:proofErr w:type="gramStart"/>
      <w:r w:rsidRPr="008D7176">
        <w:rPr>
          <w:rFonts w:ascii="Arial" w:hAnsi="Arial" w:cs="Arial"/>
        </w:rPr>
        <w:t>Science</w:t>
      </w:r>
      <w:proofErr w:type="gramEnd"/>
      <w:r w:rsidRPr="008D7176">
        <w:rPr>
          <w:rFonts w:ascii="Arial" w:hAnsi="Arial" w:cs="Arial"/>
        </w:rPr>
        <w:t xml:space="preserve"> — without navigating dashboards or constructing queries manually. The Claude API with tool-calling translates these natural language inputs into structured database operations. Only schema definitions are transmitted to the API; no student records are included in any API call.</w:t>
      </w:r>
    </w:p>
    <w:p w14:paraId="55CE084D" w14:textId="77777777" w:rsidR="008D7176" w:rsidRPr="008D7176" w:rsidRDefault="008D7176" w:rsidP="008D7176">
      <w:pPr>
        <w:spacing w:line="360" w:lineRule="auto"/>
        <w:rPr>
          <w:rFonts w:ascii="Arial" w:hAnsi="Arial" w:cs="Arial"/>
          <w:b/>
          <w:bCs/>
        </w:rPr>
      </w:pPr>
      <w:r w:rsidRPr="008D7176">
        <w:rPr>
          <w:rFonts w:ascii="Arial" w:hAnsi="Arial" w:cs="Arial"/>
          <w:b/>
          <w:bCs/>
        </w:rPr>
        <w:t>3.3 The JSON-First Data Architecture</w:t>
      </w:r>
    </w:p>
    <w:p w14:paraId="5C214285" w14:textId="77777777" w:rsidR="008D7176" w:rsidRPr="008D7176" w:rsidRDefault="008D7176" w:rsidP="008D7176">
      <w:pPr>
        <w:spacing w:line="360" w:lineRule="auto"/>
        <w:rPr>
          <w:rFonts w:ascii="Arial" w:hAnsi="Arial" w:cs="Arial"/>
        </w:rPr>
      </w:pPr>
      <w:r w:rsidRPr="008D7176">
        <w:rPr>
          <w:rFonts w:ascii="Arial" w:hAnsi="Arial" w:cs="Arial"/>
        </w:rPr>
        <w:t>All AI components in Husai consume from and contribute to a single structured JSON snapshot generated per student per quarter. This architectural decision is what makes the system coherent and extensible. The LightGBM model writes its risk score and SHAP factors into the snapshot. The BERT classifier writes identified MELC weak areas into the snapshot. The Llama 3 model reads the full snapshot to generate SF9 narratives. The Mahusai Insights engine reads the anonymized snapshot to generate insight cards and writes the results back into the snapshot for caching. The national data pipeline reads the snapshot for aggregation and anonymization.</w:t>
      </w:r>
    </w:p>
    <w:p w14:paraId="0301CC46" w14:textId="77777777" w:rsidR="008D7176" w:rsidRPr="008D7176" w:rsidRDefault="008D7176" w:rsidP="008D7176">
      <w:pPr>
        <w:spacing w:line="360" w:lineRule="auto"/>
        <w:rPr>
          <w:rFonts w:ascii="Arial" w:hAnsi="Arial" w:cs="Arial"/>
        </w:rPr>
      </w:pPr>
      <w:r w:rsidRPr="008D7176">
        <w:rPr>
          <w:rFonts w:ascii="Arial" w:hAnsi="Arial" w:cs="Arial"/>
        </w:rPr>
        <w:t>This means that adding a new feature — a new insight type, a new compliance format, a new analytical view — requires only reading from a data structure that already exists, fully populated, for every student in the system. The architecture scales without restructuring.</w:t>
      </w:r>
    </w:p>
    <w:p w14:paraId="770658BE" w14:textId="77777777" w:rsidR="008D7176" w:rsidRPr="008D7176" w:rsidRDefault="00000000" w:rsidP="008D7176">
      <w:pPr>
        <w:spacing w:line="360" w:lineRule="auto"/>
        <w:rPr>
          <w:rFonts w:ascii="Arial" w:hAnsi="Arial" w:cs="Arial"/>
        </w:rPr>
      </w:pPr>
      <w:r>
        <w:rPr>
          <w:rFonts w:ascii="Arial" w:hAnsi="Arial" w:cs="Arial"/>
        </w:rPr>
        <w:pict w14:anchorId="1E83F31D">
          <v:rect id="_x0000_i1028" style="width:0;height:1.5pt" o:hralign="center" o:hrstd="t" o:hr="t" fillcolor="#a0a0a0" stroked="f"/>
        </w:pict>
      </w:r>
    </w:p>
    <w:p w14:paraId="49875D86" w14:textId="77777777" w:rsidR="008D7176" w:rsidRPr="008D7176" w:rsidRDefault="008D7176" w:rsidP="008D7176">
      <w:pPr>
        <w:spacing w:line="360" w:lineRule="auto"/>
        <w:rPr>
          <w:rFonts w:ascii="Arial" w:hAnsi="Arial" w:cs="Arial"/>
          <w:b/>
          <w:bCs/>
        </w:rPr>
      </w:pPr>
      <w:r w:rsidRPr="008D7176">
        <w:rPr>
          <w:rFonts w:ascii="Arial" w:hAnsi="Arial" w:cs="Arial"/>
          <w:b/>
          <w:bCs/>
        </w:rPr>
        <w:t>4. Feasibility</w:t>
      </w:r>
    </w:p>
    <w:p w14:paraId="691BA8D5" w14:textId="77777777" w:rsidR="008D7176" w:rsidRPr="008D7176" w:rsidRDefault="008D7176" w:rsidP="008D7176">
      <w:pPr>
        <w:spacing w:line="360" w:lineRule="auto"/>
        <w:rPr>
          <w:rFonts w:ascii="Arial" w:hAnsi="Arial" w:cs="Arial"/>
          <w:b/>
          <w:bCs/>
        </w:rPr>
      </w:pPr>
      <w:r w:rsidRPr="008D7176">
        <w:rPr>
          <w:rFonts w:ascii="Arial" w:hAnsi="Arial" w:cs="Arial"/>
          <w:b/>
          <w:bCs/>
        </w:rPr>
        <w:t>4.1 Technical Feasibility</w:t>
      </w:r>
    </w:p>
    <w:p w14:paraId="6528D456" w14:textId="77777777" w:rsidR="008D7176" w:rsidRPr="008D7176" w:rsidRDefault="008D7176" w:rsidP="008D7176">
      <w:pPr>
        <w:spacing w:line="360" w:lineRule="auto"/>
        <w:rPr>
          <w:rFonts w:ascii="Arial" w:hAnsi="Arial" w:cs="Arial"/>
        </w:rPr>
      </w:pPr>
      <w:r w:rsidRPr="008D7176">
        <w:rPr>
          <w:rFonts w:ascii="Arial" w:hAnsi="Arial" w:cs="Arial"/>
        </w:rPr>
        <w:lastRenderedPageBreak/>
        <w:t xml:space="preserve">Every component of Husai is built on established, production-ready technology. No component requires research-level innovation. LightGBM is one of the most widely deployed gradient boosting frameworks in production machine learning systems and trains in under 30 minutes on Google Colab's free tier. Llama 3 8B fine-tuned via QLoRA using Unsloth fits on a single A100 GPU and can be trained in one to three hours on Colab Pro. BERT-base-multilingual-cased is available on HuggingFace, fine-tunable on a T4 GPU in under one </w:t>
      </w:r>
      <w:proofErr w:type="gramStart"/>
      <w:r w:rsidRPr="008D7176">
        <w:rPr>
          <w:rFonts w:ascii="Arial" w:hAnsi="Arial" w:cs="Arial"/>
        </w:rPr>
        <w:t>hour, and</w:t>
      </w:r>
      <w:proofErr w:type="gramEnd"/>
      <w:r w:rsidRPr="008D7176">
        <w:rPr>
          <w:rFonts w:ascii="Arial" w:hAnsi="Arial" w:cs="Arial"/>
        </w:rPr>
        <w:t xml:space="preserve"> has been deployed in production natural language processing systems at scale globally. The Claude API is a commercial product with documented reliability and straightforward integration via standard HTTP requests.</w:t>
      </w:r>
    </w:p>
    <w:p w14:paraId="6A66C2BA" w14:textId="77777777" w:rsidR="008D7176" w:rsidRPr="008D7176" w:rsidRDefault="008D7176" w:rsidP="008D7176">
      <w:pPr>
        <w:spacing w:line="360" w:lineRule="auto"/>
        <w:rPr>
          <w:rFonts w:ascii="Arial" w:hAnsi="Arial" w:cs="Arial"/>
        </w:rPr>
      </w:pPr>
      <w:r w:rsidRPr="008D7176">
        <w:rPr>
          <w:rFonts w:ascii="Arial" w:hAnsi="Arial" w:cs="Arial"/>
        </w:rPr>
        <w:t>The platform itself is a responsive web application requiring no app installation, designed to function on 3G connections — the connectivity condition common in provincial Philippine schools. The database architecture uses a standard relational system with JSON snapshot storage partitioned per student per quarter, a schema that scales horizontally without modification.</w:t>
      </w:r>
    </w:p>
    <w:p w14:paraId="03495176" w14:textId="77777777" w:rsidR="008D7176" w:rsidRPr="008D7176" w:rsidRDefault="008D7176" w:rsidP="008D7176">
      <w:pPr>
        <w:spacing w:line="360" w:lineRule="auto"/>
        <w:rPr>
          <w:rFonts w:ascii="Arial" w:hAnsi="Arial" w:cs="Arial"/>
          <w:b/>
          <w:bCs/>
        </w:rPr>
      </w:pPr>
      <w:r w:rsidRPr="008D7176">
        <w:rPr>
          <w:rFonts w:ascii="Arial" w:hAnsi="Arial" w:cs="Arial"/>
          <w:b/>
          <w:bCs/>
        </w:rPr>
        <w:t>4.2 Operational Feasibility</w:t>
      </w:r>
    </w:p>
    <w:p w14:paraId="2EC6C0F5" w14:textId="77777777" w:rsidR="008D7176" w:rsidRPr="008D7176" w:rsidRDefault="008D7176" w:rsidP="008D7176">
      <w:pPr>
        <w:spacing w:line="360" w:lineRule="auto"/>
        <w:rPr>
          <w:rFonts w:ascii="Arial" w:hAnsi="Arial" w:cs="Arial"/>
        </w:rPr>
      </w:pPr>
      <w:r w:rsidRPr="008D7176">
        <w:rPr>
          <w:rFonts w:ascii="Arial" w:hAnsi="Arial" w:cs="Arial"/>
        </w:rPr>
        <w:t xml:space="preserve">The most important design principle in Husai is that teachers must not be required to change how they work. Every data input maps to something teachers already </w:t>
      </w:r>
      <w:proofErr w:type="gramStart"/>
      <w:r w:rsidRPr="008D7176">
        <w:rPr>
          <w:rFonts w:ascii="Arial" w:hAnsi="Arial" w:cs="Arial"/>
        </w:rPr>
        <w:t>do:</w:t>
      </w:r>
      <w:proofErr w:type="gramEnd"/>
      <w:r w:rsidRPr="008D7176">
        <w:rPr>
          <w:rFonts w:ascii="Arial" w:hAnsi="Arial" w:cs="Arial"/>
        </w:rPr>
        <w:t xml:space="preserve"> entering a quiz score, marking attendance, writing a brief observation note. The platform collects these inputs through a minimal interface and generates all downstream outputs automatically. Teachers do not learn new workflows — they perform their existing workflows in a system that extracts value from them automatically.</w:t>
      </w:r>
    </w:p>
    <w:p w14:paraId="19E54D7A" w14:textId="77777777" w:rsidR="008D7176" w:rsidRPr="008D7176" w:rsidRDefault="008D7176" w:rsidP="008D7176">
      <w:pPr>
        <w:spacing w:line="360" w:lineRule="auto"/>
        <w:rPr>
          <w:rFonts w:ascii="Arial" w:hAnsi="Arial" w:cs="Arial"/>
        </w:rPr>
      </w:pPr>
      <w:r w:rsidRPr="008D7176">
        <w:rPr>
          <w:rFonts w:ascii="Arial" w:hAnsi="Arial" w:cs="Arial"/>
        </w:rPr>
        <w:t>For school administrators, onboarding requires only a bulk student roster import and section assignment. DepEd record formats, including SF9 and SF10, are pre-loaded and populated from existing data without manual encoding. A school can be operational within one working day of setup.</w:t>
      </w:r>
    </w:p>
    <w:p w14:paraId="0CD9FCF7" w14:textId="77777777" w:rsidR="008D7176" w:rsidRPr="008D7176" w:rsidRDefault="008D7176" w:rsidP="008D7176">
      <w:pPr>
        <w:spacing w:line="360" w:lineRule="auto"/>
        <w:rPr>
          <w:rFonts w:ascii="Arial" w:hAnsi="Arial" w:cs="Arial"/>
          <w:b/>
          <w:bCs/>
        </w:rPr>
      </w:pPr>
      <w:r w:rsidRPr="008D7176">
        <w:rPr>
          <w:rFonts w:ascii="Arial" w:hAnsi="Arial" w:cs="Arial"/>
          <w:b/>
          <w:bCs/>
        </w:rPr>
        <w:t>4.3 Precedent and Research Validation</w:t>
      </w:r>
    </w:p>
    <w:p w14:paraId="21CA59B0" w14:textId="77777777" w:rsidR="008D7176" w:rsidRPr="008D7176" w:rsidRDefault="008D7176" w:rsidP="008D7176">
      <w:pPr>
        <w:spacing w:line="360" w:lineRule="auto"/>
        <w:rPr>
          <w:rFonts w:ascii="Arial" w:hAnsi="Arial" w:cs="Arial"/>
        </w:rPr>
      </w:pPr>
      <w:r w:rsidRPr="008D7176">
        <w:rPr>
          <w:rFonts w:ascii="Arial" w:hAnsi="Arial" w:cs="Arial"/>
        </w:rPr>
        <w:t xml:space="preserve">The technical approaches used in each Husai component are backed by peer-reviewed research. Bertolini et al. (2024) demonstrated that LightGBM with Optuna tuning achieves F1-scores exceeding 0.84 on structured student tabular data. Ullah et al. </w:t>
      </w:r>
      <w:r w:rsidRPr="008D7176">
        <w:rPr>
          <w:rFonts w:ascii="Arial" w:hAnsi="Arial" w:cs="Arial"/>
        </w:rPr>
        <w:lastRenderedPageBreak/>
        <w:t>(2024) showed that AI-driven models with SHAP explainability achieve 96 percent accuracy on dropout risk classification while providing interpretable outputs that non-technical users can act on. Guo et al. (2024) established that fine-tuned language models generate effective and accurate narratives for student evaluation records. Chowdhury et al. (2025) confirmed that large language models are well-suited to educational tasks including automated feedback and document generation at scale.</w:t>
      </w:r>
    </w:p>
    <w:p w14:paraId="6ADF7320" w14:textId="77777777" w:rsidR="008D7176" w:rsidRPr="008D7176" w:rsidRDefault="00000000" w:rsidP="008D7176">
      <w:pPr>
        <w:spacing w:line="360" w:lineRule="auto"/>
        <w:rPr>
          <w:rFonts w:ascii="Arial" w:hAnsi="Arial" w:cs="Arial"/>
        </w:rPr>
      </w:pPr>
      <w:r>
        <w:rPr>
          <w:rFonts w:ascii="Arial" w:hAnsi="Arial" w:cs="Arial"/>
        </w:rPr>
        <w:pict w14:anchorId="47126179">
          <v:rect id="_x0000_i1029" style="width:0;height:1.5pt" o:hralign="center" o:hrstd="t" o:hr="t" fillcolor="#a0a0a0" stroked="f"/>
        </w:pict>
      </w:r>
    </w:p>
    <w:p w14:paraId="195089B0" w14:textId="77777777" w:rsidR="008D7176" w:rsidRPr="008D7176" w:rsidRDefault="008D7176" w:rsidP="008D7176">
      <w:pPr>
        <w:spacing w:line="360" w:lineRule="auto"/>
        <w:rPr>
          <w:rFonts w:ascii="Arial" w:hAnsi="Arial" w:cs="Arial"/>
          <w:b/>
          <w:bCs/>
        </w:rPr>
      </w:pPr>
      <w:r w:rsidRPr="008D7176">
        <w:rPr>
          <w:rFonts w:ascii="Arial" w:hAnsi="Arial" w:cs="Arial"/>
          <w:b/>
          <w:bCs/>
        </w:rPr>
        <w:t>5. Scalability and Impact</w:t>
      </w:r>
    </w:p>
    <w:p w14:paraId="41BEF08A" w14:textId="77777777" w:rsidR="008D7176" w:rsidRPr="008D7176" w:rsidRDefault="008D7176" w:rsidP="008D7176">
      <w:pPr>
        <w:spacing w:line="360" w:lineRule="auto"/>
        <w:rPr>
          <w:rFonts w:ascii="Arial" w:hAnsi="Arial" w:cs="Arial"/>
          <w:b/>
          <w:bCs/>
        </w:rPr>
      </w:pPr>
      <w:r w:rsidRPr="008D7176">
        <w:rPr>
          <w:rFonts w:ascii="Arial" w:hAnsi="Arial" w:cs="Arial"/>
          <w:b/>
          <w:bCs/>
        </w:rPr>
        <w:t>5.1 Scaling the School Product</w:t>
      </w:r>
    </w:p>
    <w:p w14:paraId="551EC289" w14:textId="77777777" w:rsidR="008D7176" w:rsidRPr="008D7176" w:rsidRDefault="008D7176" w:rsidP="008D7176">
      <w:pPr>
        <w:spacing w:line="360" w:lineRule="auto"/>
        <w:rPr>
          <w:rFonts w:ascii="Arial" w:hAnsi="Arial" w:cs="Arial"/>
        </w:rPr>
      </w:pPr>
      <w:r w:rsidRPr="008D7176">
        <w:rPr>
          <w:rFonts w:ascii="Arial" w:hAnsi="Arial" w:cs="Arial"/>
        </w:rPr>
        <w:t>Husai's architecture is designed to scale from a single pilot school to the entire Philippine public school system without structural changes. The JSON-first data model is stateless and horizontally partitionable. Each school's data is logically isolated. Adding a new school requires only a roster import with no custom configuration per institution.</w:t>
      </w:r>
    </w:p>
    <w:p w14:paraId="1819EAE6" w14:textId="77777777" w:rsidR="008D7176" w:rsidRPr="008D7176" w:rsidRDefault="008D7176" w:rsidP="008D7176">
      <w:pPr>
        <w:spacing w:line="360" w:lineRule="auto"/>
        <w:rPr>
          <w:rFonts w:ascii="Arial" w:hAnsi="Arial" w:cs="Arial"/>
        </w:rPr>
      </w:pPr>
      <w:r w:rsidRPr="008D7176">
        <w:rPr>
          <w:rFonts w:ascii="Arial" w:hAnsi="Arial" w:cs="Arial"/>
        </w:rPr>
        <w:t>The scaling roadmap proceeds in three phases. In Year 1, the target is 10 to 50 pilot schools in Metro Manila, generating an initial dataset, validating the at-risk model against real Philippine student data, and refining the SF9 generation output against teacher feedback. In Years 2 and 3, the target is expansion across NCR and Regions III and IV-A, followed by national rollout to all 47,000 or more public schools in the Philippines. In Years 4 and 5, the platform expands internationally to Indonesia, Vietnam, and India, with localized compliance formats for each country's equivalent of SF9 and SF10.</w:t>
      </w:r>
    </w:p>
    <w:p w14:paraId="355526F6" w14:textId="77777777" w:rsidR="008D7176" w:rsidRPr="008D7176" w:rsidRDefault="008D7176" w:rsidP="008D7176">
      <w:pPr>
        <w:spacing w:line="360" w:lineRule="auto"/>
        <w:rPr>
          <w:rFonts w:ascii="Arial" w:hAnsi="Arial" w:cs="Arial"/>
          <w:b/>
          <w:bCs/>
        </w:rPr>
      </w:pPr>
      <w:r w:rsidRPr="008D7176">
        <w:rPr>
          <w:rFonts w:ascii="Arial" w:hAnsi="Arial" w:cs="Arial"/>
          <w:b/>
          <w:bCs/>
        </w:rPr>
        <w:t>5.2 The National Data Layer</w:t>
      </w:r>
    </w:p>
    <w:p w14:paraId="1EC4880E" w14:textId="77777777" w:rsidR="008D7176" w:rsidRPr="008D7176" w:rsidRDefault="008D7176" w:rsidP="008D7176">
      <w:pPr>
        <w:spacing w:line="360" w:lineRule="auto"/>
        <w:rPr>
          <w:rFonts w:ascii="Arial" w:hAnsi="Arial" w:cs="Arial"/>
        </w:rPr>
      </w:pPr>
      <w:r w:rsidRPr="008D7176">
        <w:rPr>
          <w:rFonts w:ascii="Arial" w:hAnsi="Arial" w:cs="Arial"/>
        </w:rPr>
        <w:t xml:space="preserve">The most consequential long-term impact of Husai is not the school product — it is the national dataset the school product creates. Every school using Husai contributes anonymized, structured, longitudinal data points: student performance trends by grade level, subject, region, and demographic. As Husai scales to thousands of schools, it </w:t>
      </w:r>
      <w:r w:rsidRPr="008D7176">
        <w:rPr>
          <w:rFonts w:ascii="Arial" w:hAnsi="Arial" w:cs="Arial"/>
        </w:rPr>
        <w:lastRenderedPageBreak/>
        <w:t>becomes the first unified, real-time education dataset in Philippine history. No government agency, research institution, or private organization currently has this.</w:t>
      </w:r>
    </w:p>
    <w:p w14:paraId="74A44F02" w14:textId="77777777" w:rsidR="008D7176" w:rsidRPr="008D7176" w:rsidRDefault="008D7176" w:rsidP="008D7176">
      <w:pPr>
        <w:spacing w:line="360" w:lineRule="auto"/>
        <w:rPr>
          <w:rFonts w:ascii="Arial" w:hAnsi="Arial" w:cs="Arial"/>
        </w:rPr>
      </w:pPr>
      <w:r w:rsidRPr="008D7176">
        <w:rPr>
          <w:rFonts w:ascii="Arial" w:hAnsi="Arial" w:cs="Arial"/>
        </w:rPr>
        <w:t>All models trained on national Husai data operate on fully anonymized and aggregated data. Individual student records are never exposed beyond the school level. The data governance model gives schools ownership of their own data, provides DepEd with read access to national aggregated views, and makes anonymized research extracts available to partner institutions including PIDS, the University of the Philippines, the Asian Development Bank, and the World Bank under formal data sharing agreements.</w:t>
      </w:r>
    </w:p>
    <w:p w14:paraId="5E77FC55" w14:textId="77777777" w:rsidR="008D7176" w:rsidRPr="008D7176" w:rsidRDefault="008D7176" w:rsidP="008D7176">
      <w:pPr>
        <w:spacing w:line="360" w:lineRule="auto"/>
        <w:rPr>
          <w:rFonts w:ascii="Arial" w:hAnsi="Arial" w:cs="Arial"/>
          <w:b/>
          <w:bCs/>
        </w:rPr>
      </w:pPr>
      <w:r w:rsidRPr="008D7176">
        <w:rPr>
          <w:rFonts w:ascii="Arial" w:hAnsi="Arial" w:cs="Arial"/>
          <w:b/>
          <w:bCs/>
        </w:rPr>
        <w:t>5.3 Applications Beyond Education</w:t>
      </w:r>
    </w:p>
    <w:p w14:paraId="3C18256A" w14:textId="77777777" w:rsidR="008D7176" w:rsidRPr="008D7176" w:rsidRDefault="008D7176" w:rsidP="008D7176">
      <w:pPr>
        <w:spacing w:line="360" w:lineRule="auto"/>
        <w:rPr>
          <w:rFonts w:ascii="Arial" w:hAnsi="Arial" w:cs="Arial"/>
        </w:rPr>
      </w:pPr>
      <w:r w:rsidRPr="008D7176">
        <w:rPr>
          <w:rFonts w:ascii="Arial" w:hAnsi="Arial" w:cs="Arial"/>
        </w:rPr>
        <w:t>Once sufficient data accumulates at national scale, the Husai dataset becomes an input layer for models that address problems beyond the classroom.</w:t>
      </w:r>
    </w:p>
    <w:p w14:paraId="056039DD" w14:textId="77777777" w:rsidR="008D7176" w:rsidRPr="008D7176" w:rsidRDefault="008D7176" w:rsidP="008D7176">
      <w:pPr>
        <w:spacing w:line="360" w:lineRule="auto"/>
        <w:rPr>
          <w:rFonts w:ascii="Arial" w:hAnsi="Arial" w:cs="Arial"/>
        </w:rPr>
      </w:pPr>
      <w:r w:rsidRPr="008D7176">
        <w:rPr>
          <w:rFonts w:ascii="Arial" w:hAnsi="Arial" w:cs="Arial"/>
        </w:rPr>
        <w:t>School enrollment trends are among the most reliable leading indicators of residential population growth. Husai data can inform LGU and DPWH decisions about where to prioritize school construction, teacher deployment, and public infrastructure investment before shortages occur rather than after. The relationship between early learning performance signals and regional labor market outcomes can be modeled from longitudinal Husai data, identifying communities at highest risk of persistent poverty cycles and informing the targeting of conditional cash transfer programs like 4Ps and TESDA skills deployment. Attendance pattern drops cross-referenced with DOH regional health data can provide early signals of illness outbreaks affecting school-age children at a resolution that current public health surveillance does not achieve. Subject-level MELC performance trends by grade and region can forecast skills gaps five to ten years ahead, giving higher education institutions and TESDA time to respond before gaps become structural.</w:t>
      </w:r>
    </w:p>
    <w:p w14:paraId="57988B68" w14:textId="77777777" w:rsidR="008D7176" w:rsidRPr="008D7176" w:rsidRDefault="008D7176" w:rsidP="008D7176">
      <w:pPr>
        <w:spacing w:line="360" w:lineRule="auto"/>
        <w:rPr>
          <w:rFonts w:ascii="Arial" w:hAnsi="Arial" w:cs="Arial"/>
          <w:b/>
          <w:bCs/>
        </w:rPr>
      </w:pPr>
      <w:r w:rsidRPr="008D7176">
        <w:rPr>
          <w:rFonts w:ascii="Arial" w:hAnsi="Arial" w:cs="Arial"/>
          <w:b/>
          <w:bCs/>
        </w:rPr>
        <w:t>5.4 The Compounding Value Flywheel</w:t>
      </w:r>
    </w:p>
    <w:p w14:paraId="1228F07F" w14:textId="77777777" w:rsidR="008D7176" w:rsidRPr="008D7176" w:rsidRDefault="008D7176" w:rsidP="008D7176">
      <w:pPr>
        <w:spacing w:line="360" w:lineRule="auto"/>
        <w:rPr>
          <w:rFonts w:ascii="Arial" w:hAnsi="Arial" w:cs="Arial"/>
        </w:rPr>
      </w:pPr>
      <w:r w:rsidRPr="008D7176">
        <w:rPr>
          <w:rFonts w:ascii="Arial" w:hAnsi="Arial" w:cs="Arial"/>
        </w:rPr>
        <w:t xml:space="preserve">Each new school that joins Husai makes every existing model more accurate. More data improves the at-risk detection model's generalization across regional and demographic variation. More data improves the LGU-facing urban planning models. More data strengthens the policy evidence available to DepEd and research institutions. </w:t>
      </w:r>
      <w:r w:rsidRPr="008D7176">
        <w:rPr>
          <w:rFonts w:ascii="Arial" w:hAnsi="Arial" w:cs="Arial"/>
        </w:rPr>
        <w:lastRenderedPageBreak/>
        <w:t>Stronger evidence drives more institutional buy-in. More buy-in brings more schools into the system. This compounding cycle is the structural moat that makes Husai defensible at scale — not the features, but the data network effect that accumulates behind them.</w:t>
      </w:r>
    </w:p>
    <w:p w14:paraId="479EF833" w14:textId="77777777" w:rsidR="008D7176" w:rsidRPr="008D7176" w:rsidRDefault="00000000" w:rsidP="008D7176">
      <w:pPr>
        <w:spacing w:line="360" w:lineRule="auto"/>
        <w:rPr>
          <w:rFonts w:ascii="Arial" w:hAnsi="Arial" w:cs="Arial"/>
        </w:rPr>
      </w:pPr>
      <w:r>
        <w:rPr>
          <w:rFonts w:ascii="Arial" w:hAnsi="Arial" w:cs="Arial"/>
        </w:rPr>
        <w:pict w14:anchorId="273232CE">
          <v:rect id="_x0000_i1030" style="width:0;height:1.5pt" o:hralign="center" o:hrstd="t" o:hr="t" fillcolor="#a0a0a0" stroked="f"/>
        </w:pict>
      </w:r>
    </w:p>
    <w:p w14:paraId="38A4A1FB" w14:textId="77777777" w:rsidR="008D7176" w:rsidRPr="008D7176" w:rsidRDefault="008D7176" w:rsidP="008D7176">
      <w:pPr>
        <w:spacing w:line="360" w:lineRule="auto"/>
        <w:rPr>
          <w:rFonts w:ascii="Arial" w:hAnsi="Arial" w:cs="Arial"/>
          <w:b/>
          <w:bCs/>
        </w:rPr>
      </w:pPr>
      <w:r w:rsidRPr="008D7176">
        <w:rPr>
          <w:rFonts w:ascii="Arial" w:hAnsi="Arial" w:cs="Arial"/>
          <w:b/>
          <w:bCs/>
        </w:rPr>
        <w:t>6. Outreach Plan</w:t>
      </w:r>
    </w:p>
    <w:p w14:paraId="1EE6F1C7" w14:textId="77777777" w:rsidR="008D7176" w:rsidRPr="008D7176" w:rsidRDefault="008D7176" w:rsidP="008D7176">
      <w:pPr>
        <w:spacing w:line="360" w:lineRule="auto"/>
        <w:rPr>
          <w:rFonts w:ascii="Arial" w:hAnsi="Arial" w:cs="Arial"/>
          <w:b/>
          <w:bCs/>
        </w:rPr>
      </w:pPr>
      <w:r w:rsidRPr="008D7176">
        <w:rPr>
          <w:rFonts w:ascii="Arial" w:hAnsi="Arial" w:cs="Arial"/>
          <w:b/>
          <w:bCs/>
        </w:rPr>
        <w:t>6.1 Approach and Philosophy</w:t>
      </w:r>
    </w:p>
    <w:p w14:paraId="1CD61FBC" w14:textId="77777777" w:rsidR="008D7176" w:rsidRPr="008D7176" w:rsidRDefault="008D7176" w:rsidP="008D7176">
      <w:pPr>
        <w:spacing w:line="360" w:lineRule="auto"/>
        <w:rPr>
          <w:rFonts w:ascii="Arial" w:hAnsi="Arial" w:cs="Arial"/>
        </w:rPr>
      </w:pPr>
      <w:r w:rsidRPr="008D7176">
        <w:rPr>
          <w:rFonts w:ascii="Arial" w:hAnsi="Arial" w:cs="Arial"/>
        </w:rPr>
        <w:t>Husai's outreach strategy treats AI awareness as a byproduct of normal product usage rather than a separate educational program. Every person who uses Husai encounters explained AI: the Student View surfaces why a subject was flagged as an alert and what data drove the recommendation; the Teacher View shows which factors contributed to a student's risk score through SHAP-derived explanations; the Admin View shows how the dropout risk radar is computed. Users do not need to seek out AI literacy — the platform delivers it passively through interaction.</w:t>
      </w:r>
    </w:p>
    <w:p w14:paraId="5D8C2ADD" w14:textId="77777777" w:rsidR="008D7176" w:rsidRPr="008D7176" w:rsidRDefault="008D7176" w:rsidP="008D7176">
      <w:pPr>
        <w:spacing w:line="360" w:lineRule="auto"/>
        <w:rPr>
          <w:rFonts w:ascii="Arial" w:hAnsi="Arial" w:cs="Arial"/>
        </w:rPr>
      </w:pPr>
      <w:r w:rsidRPr="008D7176">
        <w:rPr>
          <w:rFonts w:ascii="Arial" w:hAnsi="Arial" w:cs="Arial"/>
        </w:rPr>
        <w:t>This approach is deliberate. AI awareness programs that require separate events or materials have limited reach and retention. AI awareness embedded in a tool that people use every week — because it saves them hours of work — scales automatically with adoption.</w:t>
      </w:r>
    </w:p>
    <w:p w14:paraId="655549A2" w14:textId="77777777" w:rsidR="008D7176" w:rsidRPr="008D7176" w:rsidRDefault="008D7176" w:rsidP="008D7176">
      <w:pPr>
        <w:spacing w:line="360" w:lineRule="auto"/>
        <w:rPr>
          <w:rFonts w:ascii="Arial" w:hAnsi="Arial" w:cs="Arial"/>
          <w:b/>
          <w:bCs/>
        </w:rPr>
      </w:pPr>
      <w:r w:rsidRPr="008D7176">
        <w:rPr>
          <w:rFonts w:ascii="Arial" w:hAnsi="Arial" w:cs="Arial"/>
          <w:b/>
          <w:bCs/>
        </w:rPr>
        <w:t>6.2 Outreach Channels</w:t>
      </w:r>
    </w:p>
    <w:p w14:paraId="13F6B488" w14:textId="77777777" w:rsidR="008D7176" w:rsidRPr="008D7176" w:rsidRDefault="008D7176" w:rsidP="008D7176">
      <w:pPr>
        <w:spacing w:line="360" w:lineRule="auto"/>
        <w:rPr>
          <w:rFonts w:ascii="Arial" w:hAnsi="Arial" w:cs="Arial"/>
        </w:rPr>
      </w:pPr>
      <w:r w:rsidRPr="008D7176">
        <w:rPr>
          <w:rFonts w:ascii="Arial" w:hAnsi="Arial" w:cs="Arial"/>
          <w:b/>
          <w:bCs/>
        </w:rPr>
        <w:t>Teacher Onboarding Workshops.</w:t>
      </w:r>
      <w:r w:rsidRPr="008D7176">
        <w:rPr>
          <w:rFonts w:ascii="Arial" w:hAnsi="Arial" w:cs="Arial"/>
        </w:rPr>
        <w:t xml:space="preserve"> Each pilot school receives a structured onboarding session covering how the at-risk model works, how Mahusai Insights generates its cards, and how SF9 narratives are produced by AI. Teachers learn not just how to use the </w:t>
      </w:r>
      <w:proofErr w:type="gramStart"/>
      <w:r w:rsidRPr="008D7176">
        <w:rPr>
          <w:rFonts w:ascii="Arial" w:hAnsi="Arial" w:cs="Arial"/>
        </w:rPr>
        <w:t>system</w:t>
      </w:r>
      <w:proofErr w:type="gramEnd"/>
      <w:r w:rsidRPr="008D7176">
        <w:rPr>
          <w:rFonts w:ascii="Arial" w:hAnsi="Arial" w:cs="Arial"/>
        </w:rPr>
        <w:t xml:space="preserve"> but why the AI behaves the way it does. Target for Year 1: 10 pilot schools with an average of 30 teachers per school, reaching 300 teachers directly.</w:t>
      </w:r>
    </w:p>
    <w:p w14:paraId="7A786F5D" w14:textId="77777777" w:rsidR="008D7176" w:rsidRPr="008D7176" w:rsidRDefault="008D7176" w:rsidP="008D7176">
      <w:pPr>
        <w:spacing w:line="360" w:lineRule="auto"/>
        <w:rPr>
          <w:rFonts w:ascii="Arial" w:hAnsi="Arial" w:cs="Arial"/>
        </w:rPr>
      </w:pPr>
      <w:r w:rsidRPr="008D7176">
        <w:rPr>
          <w:rFonts w:ascii="Arial" w:hAnsi="Arial" w:cs="Arial"/>
          <w:b/>
          <w:bCs/>
        </w:rPr>
        <w:t>Student-Facing AI Explanations via the Product.</w:t>
      </w:r>
      <w:r w:rsidRPr="008D7176">
        <w:rPr>
          <w:rFonts w:ascii="Arial" w:hAnsi="Arial" w:cs="Arial"/>
        </w:rPr>
        <w:t xml:space="preserve"> The Student View explains the reasoning behind every insight card — why a subject was flagged, what data drove the observation, and what the student can do about it. This is AI literacy delivered </w:t>
      </w:r>
      <w:proofErr w:type="gramStart"/>
      <w:r w:rsidRPr="008D7176">
        <w:rPr>
          <w:rFonts w:ascii="Arial" w:hAnsi="Arial" w:cs="Arial"/>
        </w:rPr>
        <w:t>at the moment</w:t>
      </w:r>
      <w:proofErr w:type="gramEnd"/>
      <w:r w:rsidRPr="008D7176">
        <w:rPr>
          <w:rFonts w:ascii="Arial" w:hAnsi="Arial" w:cs="Arial"/>
        </w:rPr>
        <w:t xml:space="preserve"> of relevance, to the person most motivated to understand it. Target for Year 1: 50 students per teacher across 300 teachers, reaching approximately 1,500 students.</w:t>
      </w:r>
    </w:p>
    <w:p w14:paraId="79553832" w14:textId="77777777" w:rsidR="008D7176" w:rsidRPr="008D7176" w:rsidRDefault="008D7176" w:rsidP="008D7176">
      <w:pPr>
        <w:spacing w:line="360" w:lineRule="auto"/>
        <w:rPr>
          <w:rFonts w:ascii="Arial" w:hAnsi="Arial" w:cs="Arial"/>
        </w:rPr>
      </w:pPr>
      <w:r w:rsidRPr="008D7176">
        <w:rPr>
          <w:rFonts w:ascii="Arial" w:hAnsi="Arial" w:cs="Arial"/>
          <w:b/>
          <w:bCs/>
        </w:rPr>
        <w:lastRenderedPageBreak/>
        <w:t>Parent Progress Summaries in Filipino.</w:t>
      </w:r>
      <w:r w:rsidRPr="008D7176">
        <w:rPr>
          <w:rFonts w:ascii="Arial" w:hAnsi="Arial" w:cs="Arial"/>
        </w:rPr>
        <w:t xml:space="preserve"> AI-generated quarterly progress reports are distributed to parents in plain Filipino. For many parents, particularly those in lower-income households, this is their first encounter with an AI-generated output in a context they understand and that directly concerns them. The goal is not to explain AI in abstract terms but to demonstrate it through something immediately meaningful. Target for Year 1: approximately 500 parents across pilot schools.</w:t>
      </w:r>
    </w:p>
    <w:p w14:paraId="5559C847" w14:textId="77777777" w:rsidR="008D7176" w:rsidRPr="008D7176" w:rsidRDefault="008D7176" w:rsidP="008D7176">
      <w:pPr>
        <w:spacing w:line="360" w:lineRule="auto"/>
        <w:rPr>
          <w:rFonts w:ascii="Arial" w:hAnsi="Arial" w:cs="Arial"/>
        </w:rPr>
      </w:pPr>
      <w:r w:rsidRPr="008D7176">
        <w:rPr>
          <w:rFonts w:ascii="Arial" w:hAnsi="Arial" w:cs="Arial"/>
          <w:b/>
          <w:bCs/>
        </w:rPr>
        <w:t>Administrator and Principal Briefings.</w:t>
      </w:r>
      <w:r w:rsidRPr="008D7176">
        <w:rPr>
          <w:rFonts w:ascii="Arial" w:hAnsi="Arial" w:cs="Arial"/>
        </w:rPr>
        <w:t xml:space="preserve"> School heads receive a dedicated session explaining how the Admin View works, how the dropout risk radar is computed, and how the AI-generated school health narrative is produced. Administrators who understand the system become institutional advocates for AI adoption within their schools and with their DepEd supervisors. Target for Year 1: approximately 50 administrators across pilot schools.</w:t>
      </w:r>
    </w:p>
    <w:p w14:paraId="70653E35" w14:textId="77777777" w:rsidR="008D7176" w:rsidRPr="008D7176" w:rsidRDefault="008D7176" w:rsidP="008D7176">
      <w:pPr>
        <w:spacing w:line="360" w:lineRule="auto"/>
        <w:rPr>
          <w:rFonts w:ascii="Arial" w:hAnsi="Arial" w:cs="Arial"/>
        </w:rPr>
      </w:pPr>
      <w:r w:rsidRPr="008D7176">
        <w:rPr>
          <w:rFonts w:ascii="Arial" w:hAnsi="Arial" w:cs="Arial"/>
          <w:b/>
          <w:bCs/>
        </w:rPr>
        <w:t>DepEd Regional Office and LGU Presentations.</w:t>
      </w:r>
      <w:r w:rsidRPr="008D7176">
        <w:rPr>
          <w:rFonts w:ascii="Arial" w:hAnsi="Arial" w:cs="Arial"/>
        </w:rPr>
        <w:t xml:space="preserve"> Presentations to DepEd regional officers and LGU planning departments demonstrate the national heatmap roadmap, the urban planning data layer, and the policy research potential of the national dataset. This channel reaches the decision-makers who drive institutional adoption — a single DepEd regional directive can accelerate rollout to hundreds of schools. Target for Year 1: approximately 200 policymakers, planners, and regional education officers.</w:t>
      </w:r>
    </w:p>
    <w:p w14:paraId="77105F1A" w14:textId="77777777" w:rsidR="008D7176" w:rsidRPr="008D7176" w:rsidRDefault="008D7176" w:rsidP="008D7176">
      <w:pPr>
        <w:spacing w:line="360" w:lineRule="auto"/>
        <w:rPr>
          <w:rFonts w:ascii="Arial" w:hAnsi="Arial" w:cs="Arial"/>
        </w:rPr>
      </w:pPr>
      <w:r w:rsidRPr="008D7176">
        <w:rPr>
          <w:rFonts w:ascii="Arial" w:hAnsi="Arial" w:cs="Arial"/>
          <w:b/>
          <w:bCs/>
        </w:rPr>
        <w:t>Public Documentation and Social Media.</w:t>
      </w:r>
      <w:r w:rsidRPr="008D7176">
        <w:rPr>
          <w:rFonts w:ascii="Arial" w:hAnsi="Arial" w:cs="Arial"/>
        </w:rPr>
        <w:t xml:space="preserve"> A public documentation series — consisting of blog posts, short explanatory videos, and teacher testimonials — shares how Husai works and what AI in Philippine education looks like in practice. Distribution is primarily through Facebook, which is the dominant digital communication channel for Filipino teachers and parents, supplemented by DepEd regional social media accounts. Target for Year 1: approximately 2,000 indirect community members reached through digital channels.</w:t>
      </w:r>
    </w:p>
    <w:p w14:paraId="4A1D5F5B" w14:textId="77777777" w:rsidR="008D7176" w:rsidRPr="008D7176" w:rsidRDefault="008D7176" w:rsidP="008D7176">
      <w:pPr>
        <w:spacing w:line="360" w:lineRule="auto"/>
        <w:rPr>
          <w:rFonts w:ascii="Arial" w:hAnsi="Arial" w:cs="Arial"/>
          <w:b/>
          <w:bCs/>
        </w:rPr>
      </w:pPr>
      <w:r w:rsidRPr="008D7176">
        <w:rPr>
          <w:rFonts w:ascii="Arial" w:hAnsi="Arial" w:cs="Arial"/>
          <w:b/>
          <w:bCs/>
        </w:rPr>
        <w:t>6.3 Projected Reach</w:t>
      </w:r>
    </w:p>
    <w:p w14:paraId="63E00A16" w14:textId="77777777" w:rsidR="008D7176" w:rsidRPr="008D7176" w:rsidRDefault="008D7176" w:rsidP="008D7176">
      <w:pPr>
        <w:spacing w:line="360" w:lineRule="auto"/>
        <w:rPr>
          <w:rFonts w:ascii="Arial" w:hAnsi="Arial" w:cs="Arial"/>
        </w:rPr>
      </w:pPr>
      <w:r w:rsidRPr="008D7176">
        <w:rPr>
          <w:rFonts w:ascii="Arial" w:hAnsi="Arial" w:cs="Arial"/>
        </w:rPr>
        <w:t xml:space="preserve">In Year 1, across all channels, Husai projects direct reach of approximately 2,050 community members — teachers, students, parents, and administrators in pilot schools — and indirect reach of approximately 2,200 community members through policymaker </w:t>
      </w:r>
      <w:r w:rsidRPr="008D7176">
        <w:rPr>
          <w:rFonts w:ascii="Arial" w:hAnsi="Arial" w:cs="Arial"/>
        </w:rPr>
        <w:lastRenderedPageBreak/>
        <w:t>sessions and digital documentation. This totals approximately 4,250 community members in the first year of operation, well above the 1,000-member threshold.</w:t>
      </w:r>
    </w:p>
    <w:p w14:paraId="24EFDAA4" w14:textId="77777777" w:rsidR="008D7176" w:rsidRPr="008D7176" w:rsidRDefault="008D7176" w:rsidP="008D7176">
      <w:pPr>
        <w:spacing w:line="360" w:lineRule="auto"/>
        <w:rPr>
          <w:rFonts w:ascii="Arial" w:hAnsi="Arial" w:cs="Arial"/>
        </w:rPr>
      </w:pPr>
      <w:r w:rsidRPr="008D7176">
        <w:rPr>
          <w:rFonts w:ascii="Arial" w:hAnsi="Arial" w:cs="Arial"/>
        </w:rPr>
        <w:t>The more significant figure is the Year 2 projection. At 1,000 schools, Husai's AI awareness program reaches tens of thousands of teachers and hundreds of thousands of students automatically — not through outreach events, but through the product itself. The outreach plan scales at the same rate as adoption because the product is the outreach.</w:t>
      </w:r>
    </w:p>
    <w:p w14:paraId="20A38798" w14:textId="77777777" w:rsidR="008D7176" w:rsidRPr="008D7176" w:rsidRDefault="00000000" w:rsidP="008D7176">
      <w:pPr>
        <w:spacing w:line="360" w:lineRule="auto"/>
        <w:rPr>
          <w:rFonts w:ascii="Arial" w:hAnsi="Arial" w:cs="Arial"/>
        </w:rPr>
      </w:pPr>
      <w:r>
        <w:rPr>
          <w:rFonts w:ascii="Arial" w:hAnsi="Arial" w:cs="Arial"/>
        </w:rPr>
        <w:pict w14:anchorId="4BD3C620">
          <v:rect id="_x0000_i1031" style="width:0;height:1.5pt" o:hralign="center" o:hrstd="t" o:hr="t" fillcolor="#a0a0a0" stroked="f"/>
        </w:pict>
      </w:r>
    </w:p>
    <w:p w14:paraId="3C9586AB" w14:textId="77777777" w:rsidR="008D7176" w:rsidRPr="008D7176" w:rsidRDefault="008D7176" w:rsidP="008D7176">
      <w:pPr>
        <w:spacing w:line="360" w:lineRule="auto"/>
        <w:rPr>
          <w:rFonts w:ascii="Arial" w:hAnsi="Arial" w:cs="Arial"/>
          <w:b/>
          <w:bCs/>
        </w:rPr>
      </w:pPr>
      <w:r w:rsidRPr="008D7176">
        <w:rPr>
          <w:rFonts w:ascii="Arial" w:hAnsi="Arial" w:cs="Arial"/>
          <w:b/>
          <w:bCs/>
        </w:rPr>
        <w:t>References</w:t>
      </w:r>
    </w:p>
    <w:p w14:paraId="4F5C2DA7" w14:textId="77777777" w:rsidR="008D7176" w:rsidRPr="008D7176" w:rsidRDefault="008D7176" w:rsidP="008D7176">
      <w:pPr>
        <w:spacing w:line="360" w:lineRule="auto"/>
        <w:rPr>
          <w:rFonts w:ascii="Arial" w:hAnsi="Arial" w:cs="Arial"/>
        </w:rPr>
      </w:pPr>
      <w:r w:rsidRPr="008D7176">
        <w:rPr>
          <w:rFonts w:ascii="Arial" w:hAnsi="Arial" w:cs="Arial"/>
        </w:rPr>
        <w:t xml:space="preserve">Bertolini, R., et al. (2024). Supervised machine learning algorithms for predicting student dropout and academic success: a comparative study. </w:t>
      </w:r>
      <w:r w:rsidRPr="008D7176">
        <w:rPr>
          <w:rFonts w:ascii="Arial" w:hAnsi="Arial" w:cs="Arial"/>
          <w:i/>
          <w:iCs/>
        </w:rPr>
        <w:t>Discover Artificial Intelligence</w:t>
      </w:r>
      <w:r w:rsidRPr="008D7176">
        <w:rPr>
          <w:rFonts w:ascii="Arial" w:hAnsi="Arial" w:cs="Arial"/>
        </w:rPr>
        <w:t>, Springer Nature. https://link.springer.com/article/10.1007/s44163-023-00079-z</w:t>
      </w:r>
    </w:p>
    <w:p w14:paraId="1E505036" w14:textId="77777777" w:rsidR="008D7176" w:rsidRPr="008D7176" w:rsidRDefault="008D7176" w:rsidP="008D7176">
      <w:pPr>
        <w:spacing w:line="360" w:lineRule="auto"/>
        <w:rPr>
          <w:rFonts w:ascii="Arial" w:hAnsi="Arial" w:cs="Arial"/>
        </w:rPr>
      </w:pPr>
      <w:r w:rsidRPr="008D7176">
        <w:rPr>
          <w:rFonts w:ascii="Arial" w:hAnsi="Arial" w:cs="Arial"/>
        </w:rPr>
        <w:t xml:space="preserve">Chowdhury, S. P., et al. (2025). Large Language Models for Education: Understanding the Needs of Stakeholders, Current Capabilities and the Path Forward. </w:t>
      </w:r>
      <w:r w:rsidRPr="008D7176">
        <w:rPr>
          <w:rFonts w:ascii="Arial" w:hAnsi="Arial" w:cs="Arial"/>
          <w:i/>
          <w:iCs/>
        </w:rPr>
        <w:t>Proceedings of the 20th Workshop on Innovative Use of NLP for Building Educational Applications</w:t>
      </w:r>
      <w:r w:rsidRPr="008D7176">
        <w:rPr>
          <w:rFonts w:ascii="Arial" w:hAnsi="Arial" w:cs="Arial"/>
        </w:rPr>
        <w:t>. https://aclanthology.org/2025.bea-1.1.pdf</w:t>
      </w:r>
    </w:p>
    <w:p w14:paraId="0A21FAB7" w14:textId="77777777" w:rsidR="008D7176" w:rsidRPr="008D7176" w:rsidRDefault="008D7176" w:rsidP="008D7176">
      <w:pPr>
        <w:spacing w:line="360" w:lineRule="auto"/>
        <w:rPr>
          <w:rFonts w:ascii="Arial" w:hAnsi="Arial" w:cs="Arial"/>
        </w:rPr>
      </w:pPr>
      <w:r w:rsidRPr="008D7176">
        <w:rPr>
          <w:rFonts w:ascii="Arial" w:hAnsi="Arial" w:cs="Arial"/>
        </w:rPr>
        <w:t xml:space="preserve">Dettmers, T., et al. (2023). QLoRA: Efficient Finetuning of Quantized LLMs. </w:t>
      </w:r>
      <w:r w:rsidRPr="008D7176">
        <w:rPr>
          <w:rFonts w:ascii="Arial" w:hAnsi="Arial" w:cs="Arial"/>
          <w:i/>
          <w:iCs/>
        </w:rPr>
        <w:t>arXiv:2305.14314</w:t>
      </w:r>
      <w:r w:rsidRPr="008D7176">
        <w:rPr>
          <w:rFonts w:ascii="Arial" w:hAnsi="Arial" w:cs="Arial"/>
        </w:rPr>
        <w:t>. https://arxiv.org/abs/2305.14314</w:t>
      </w:r>
    </w:p>
    <w:p w14:paraId="549C02D0" w14:textId="77777777" w:rsidR="008D7176" w:rsidRPr="008D7176" w:rsidRDefault="008D7176" w:rsidP="008D7176">
      <w:pPr>
        <w:spacing w:line="360" w:lineRule="auto"/>
        <w:rPr>
          <w:rFonts w:ascii="Arial" w:hAnsi="Arial" w:cs="Arial"/>
        </w:rPr>
      </w:pPr>
      <w:r w:rsidRPr="008D7176">
        <w:rPr>
          <w:rFonts w:ascii="Arial" w:hAnsi="Arial" w:cs="Arial"/>
        </w:rPr>
        <w:t xml:space="preserve">EDCOM 2. (2025). </w:t>
      </w:r>
      <w:r w:rsidRPr="008D7176">
        <w:rPr>
          <w:rFonts w:ascii="Arial" w:hAnsi="Arial" w:cs="Arial"/>
          <w:i/>
          <w:iCs/>
        </w:rPr>
        <w:t>Removing the Burden of Administration from Teachers</w:t>
      </w:r>
      <w:r w:rsidRPr="008D7176">
        <w:rPr>
          <w:rFonts w:ascii="Arial" w:hAnsi="Arial" w:cs="Arial"/>
        </w:rPr>
        <w:t>. Second Congressional Commission on Education. https://edcom2.gov.ph/publications/removing-the-burden-of-administration-from-teachers/</w:t>
      </w:r>
    </w:p>
    <w:p w14:paraId="0024D895" w14:textId="77777777" w:rsidR="008D7176" w:rsidRPr="008D7176" w:rsidRDefault="008D7176" w:rsidP="008D7176">
      <w:pPr>
        <w:spacing w:line="360" w:lineRule="auto"/>
        <w:rPr>
          <w:rFonts w:ascii="Arial" w:hAnsi="Arial" w:cs="Arial"/>
        </w:rPr>
      </w:pPr>
      <w:r w:rsidRPr="008D7176">
        <w:rPr>
          <w:rFonts w:ascii="Arial" w:hAnsi="Arial" w:cs="Arial"/>
        </w:rPr>
        <w:t xml:space="preserve">Global Scientific Journal (GSJ). (2025). Public High School Teachers' Welfare and Quality of Teaching Upon Implementation of the Immediate Removal of Administrative Tasks in Candelaria, Zambales. </w:t>
      </w:r>
      <w:r w:rsidRPr="008D7176">
        <w:rPr>
          <w:rFonts w:ascii="Arial" w:hAnsi="Arial" w:cs="Arial"/>
          <w:i/>
          <w:iCs/>
        </w:rPr>
        <w:t>GSJ Volume 13, Issue 2</w:t>
      </w:r>
      <w:r w:rsidRPr="008D7176">
        <w:rPr>
          <w:rFonts w:ascii="Arial" w:hAnsi="Arial" w:cs="Arial"/>
        </w:rPr>
        <w:t>. https://www.globalscientificjournal.com/researchpaper/PUBLIC_HIGH_SCHOOL_TEACHERS_WELFARE_AND_QUALITY_OF_TEACHING_UPON_IMPLEMENTATION_OF_</w:t>
      </w:r>
      <w:r w:rsidRPr="008D7176">
        <w:rPr>
          <w:rFonts w:ascii="Arial" w:hAnsi="Arial" w:cs="Arial"/>
        </w:rPr>
        <w:lastRenderedPageBreak/>
        <w:t>THE_IMMEDIATE_REMOVAL_OF_ADMINISTRATIVE_TASKS_IN_CANDELARIA_ZAMBALES.pdf</w:t>
      </w:r>
    </w:p>
    <w:p w14:paraId="209578A3" w14:textId="77777777" w:rsidR="008D7176" w:rsidRPr="008D7176" w:rsidRDefault="008D7176" w:rsidP="008D7176">
      <w:pPr>
        <w:spacing w:line="360" w:lineRule="auto"/>
        <w:rPr>
          <w:rFonts w:ascii="Arial" w:hAnsi="Arial" w:cs="Arial"/>
        </w:rPr>
      </w:pPr>
      <w:r w:rsidRPr="008D7176">
        <w:rPr>
          <w:rFonts w:ascii="Arial" w:hAnsi="Arial" w:cs="Arial"/>
        </w:rPr>
        <w:t xml:space="preserve">Guo, X., et al. (2024). Harnessing large language models to auto-evaluate student project reports. </w:t>
      </w:r>
      <w:r w:rsidRPr="008D7176">
        <w:rPr>
          <w:rFonts w:ascii="Arial" w:hAnsi="Arial" w:cs="Arial"/>
          <w:i/>
          <w:iCs/>
        </w:rPr>
        <w:t>Computers and Education: Artificial Intelligence</w:t>
      </w:r>
      <w:r w:rsidRPr="008D7176">
        <w:rPr>
          <w:rFonts w:ascii="Arial" w:hAnsi="Arial" w:cs="Arial"/>
        </w:rPr>
        <w:t>. https://www.sciencedirect.com/science/article/pii/S2666920X24000717</w:t>
      </w:r>
    </w:p>
    <w:p w14:paraId="2141DB03" w14:textId="77777777" w:rsidR="008D7176" w:rsidRPr="008D7176" w:rsidRDefault="008D7176" w:rsidP="008D7176">
      <w:pPr>
        <w:spacing w:line="360" w:lineRule="auto"/>
        <w:rPr>
          <w:rFonts w:ascii="Arial" w:hAnsi="Arial" w:cs="Arial"/>
        </w:rPr>
      </w:pPr>
      <w:r w:rsidRPr="008D7176">
        <w:rPr>
          <w:rFonts w:ascii="Arial" w:hAnsi="Arial" w:cs="Arial"/>
        </w:rPr>
        <w:t xml:space="preserve">IJRISS. (2025). Ancillary Duties and Their Impact on Filipino Teachers' Workload and Job Satisfaction. </w:t>
      </w:r>
      <w:r w:rsidRPr="008D7176">
        <w:rPr>
          <w:rFonts w:ascii="Arial" w:hAnsi="Arial" w:cs="Arial"/>
          <w:i/>
          <w:iCs/>
        </w:rPr>
        <w:t>IJRISS Volume 9, Issue 3</w:t>
      </w:r>
      <w:r w:rsidRPr="008D7176">
        <w:rPr>
          <w:rFonts w:ascii="Arial" w:hAnsi="Arial" w:cs="Arial"/>
        </w:rPr>
        <w:t>, pp. 846–855. https://rsisinternational.org/journals/ijriss/Digital-Library/volume-9-issue-3/846-855.pdf</w:t>
      </w:r>
    </w:p>
    <w:p w14:paraId="767BC320" w14:textId="77777777" w:rsidR="008D7176" w:rsidRPr="008D7176" w:rsidRDefault="008D7176" w:rsidP="008D7176">
      <w:pPr>
        <w:spacing w:line="360" w:lineRule="auto"/>
        <w:rPr>
          <w:rFonts w:ascii="Arial" w:hAnsi="Arial" w:cs="Arial"/>
        </w:rPr>
      </w:pPr>
      <w:r w:rsidRPr="008D7176">
        <w:rPr>
          <w:rFonts w:ascii="Arial" w:hAnsi="Arial" w:cs="Arial"/>
        </w:rPr>
        <w:t xml:space="preserve">Mduma, N. (2023). Predicting Student Dropout Based on Machine Learning and Deep Learning: A Systematic Review. </w:t>
      </w:r>
      <w:r w:rsidRPr="008D7176">
        <w:rPr>
          <w:rFonts w:ascii="Arial" w:hAnsi="Arial" w:cs="Arial"/>
          <w:i/>
          <w:iCs/>
        </w:rPr>
        <w:t>EAI Endorsed Transactions on Scalable Information Systems</w:t>
      </w:r>
      <w:r w:rsidRPr="008D7176">
        <w:rPr>
          <w:rFonts w:ascii="Arial" w:hAnsi="Arial" w:cs="Arial"/>
        </w:rPr>
        <w:t>. https://publications.eai.eu/index.php/sis/article/view/3586</w:t>
      </w:r>
    </w:p>
    <w:p w14:paraId="04F995F2" w14:textId="77777777" w:rsidR="008D7176" w:rsidRPr="008D7176" w:rsidRDefault="008D7176" w:rsidP="008D7176">
      <w:pPr>
        <w:spacing w:line="360" w:lineRule="auto"/>
        <w:rPr>
          <w:rFonts w:ascii="Arial" w:hAnsi="Arial" w:cs="Arial"/>
        </w:rPr>
      </w:pPr>
      <w:r w:rsidRPr="008D7176">
        <w:rPr>
          <w:rFonts w:ascii="Arial" w:hAnsi="Arial" w:cs="Arial"/>
        </w:rPr>
        <w:t xml:space="preserve">Razafinirina, M. A., et al. (2024). Large Language Models for Education: Survey, Trends and Challenges. </w:t>
      </w:r>
      <w:r w:rsidRPr="008D7176">
        <w:rPr>
          <w:rFonts w:ascii="Arial" w:hAnsi="Arial" w:cs="Arial"/>
          <w:i/>
          <w:iCs/>
        </w:rPr>
        <w:t>Journal of Intelligent Learning Systems and Applications, 16</w:t>
      </w:r>
      <w:r w:rsidRPr="008D7176">
        <w:rPr>
          <w:rFonts w:ascii="Arial" w:hAnsi="Arial" w:cs="Arial"/>
        </w:rPr>
        <w:t>, 448–480. https://www.scirp.org/pdf/jilsa2024164_79601651.pdf</w:t>
      </w:r>
    </w:p>
    <w:p w14:paraId="75FA0701" w14:textId="77777777" w:rsidR="008D7176" w:rsidRPr="008D7176" w:rsidRDefault="008D7176" w:rsidP="008D7176">
      <w:pPr>
        <w:spacing w:line="360" w:lineRule="auto"/>
        <w:rPr>
          <w:rFonts w:ascii="Arial" w:hAnsi="Arial" w:cs="Arial"/>
        </w:rPr>
      </w:pPr>
      <w:r w:rsidRPr="008D7176">
        <w:rPr>
          <w:rFonts w:ascii="Arial" w:hAnsi="Arial" w:cs="Arial"/>
        </w:rPr>
        <w:t xml:space="preserve">Tarraya, H. (2023). Teachers' Workload Policy: Its Impact on Philippine Public School Teachers. </w:t>
      </w:r>
      <w:r w:rsidRPr="008D7176">
        <w:rPr>
          <w:rFonts w:ascii="Arial" w:hAnsi="Arial" w:cs="Arial"/>
          <w:i/>
          <w:iCs/>
        </w:rPr>
        <w:t>Puissant, Vol. 4</w:t>
      </w:r>
      <w:r w:rsidRPr="008D7176">
        <w:rPr>
          <w:rFonts w:ascii="Arial" w:hAnsi="Arial" w:cs="Arial"/>
        </w:rPr>
        <w:t>. https://puissant.stepacademic.net/puissant/article/view/246</w:t>
      </w:r>
    </w:p>
    <w:p w14:paraId="13EBA402" w14:textId="77777777" w:rsidR="008D7176" w:rsidRPr="008D7176" w:rsidRDefault="008D7176" w:rsidP="008D7176">
      <w:pPr>
        <w:spacing w:line="360" w:lineRule="auto"/>
        <w:rPr>
          <w:rFonts w:ascii="Arial" w:hAnsi="Arial" w:cs="Arial"/>
        </w:rPr>
      </w:pPr>
      <w:r w:rsidRPr="008D7176">
        <w:rPr>
          <w:rFonts w:ascii="Arial" w:hAnsi="Arial" w:cs="Arial"/>
        </w:rPr>
        <w:t xml:space="preserve">Ullah, I., et al. (2024). A novel AI-driven model for student dropout risk analysis with explainable AI insights. </w:t>
      </w:r>
      <w:r w:rsidRPr="008D7176">
        <w:rPr>
          <w:rFonts w:ascii="Arial" w:hAnsi="Arial" w:cs="Arial"/>
          <w:i/>
          <w:iCs/>
        </w:rPr>
        <w:t>Computers and Education: Artificial Intelligence</w:t>
      </w:r>
      <w:r w:rsidRPr="008D7176">
        <w:rPr>
          <w:rFonts w:ascii="Arial" w:hAnsi="Arial" w:cs="Arial"/>
        </w:rPr>
        <w:t>. https://www.sciencedirect.com/science/article/pii/S2666920X24001553</w:t>
      </w:r>
    </w:p>
    <w:p w14:paraId="51FF90E8" w14:textId="77777777" w:rsidR="008D7176" w:rsidRPr="008D7176" w:rsidRDefault="008D7176" w:rsidP="008D7176">
      <w:pPr>
        <w:spacing w:line="360" w:lineRule="auto"/>
        <w:rPr>
          <w:rFonts w:ascii="Arial" w:hAnsi="Arial" w:cs="Arial"/>
        </w:rPr>
      </w:pPr>
      <w:r w:rsidRPr="008D7176">
        <w:rPr>
          <w:rFonts w:ascii="Arial" w:hAnsi="Arial" w:cs="Arial"/>
        </w:rPr>
        <w:t xml:space="preserve">Walker, S. (2024, December 26). Filipino teachers need workload reform. </w:t>
      </w:r>
      <w:r w:rsidRPr="008D7176">
        <w:rPr>
          <w:rFonts w:ascii="Arial" w:hAnsi="Arial" w:cs="Arial"/>
          <w:i/>
          <w:iCs/>
        </w:rPr>
        <w:t>Philippine Daily Inquirer Opinion</w:t>
      </w:r>
      <w:r w:rsidRPr="008D7176">
        <w:rPr>
          <w:rFonts w:ascii="Arial" w:hAnsi="Arial" w:cs="Arial"/>
        </w:rPr>
        <w:t>. IDInsight. https://opinion.inquirer.net/179491/filipino-teachers-need-workload-reform</w:t>
      </w:r>
    </w:p>
    <w:p w14:paraId="15FF68C7" w14:textId="77777777" w:rsidR="00CE3CA9" w:rsidRPr="008D7176" w:rsidRDefault="00CE3CA9" w:rsidP="008D7176">
      <w:pPr>
        <w:spacing w:line="360" w:lineRule="auto"/>
        <w:rPr>
          <w:rFonts w:ascii="Arial" w:hAnsi="Arial" w:cs="Arial"/>
        </w:rPr>
      </w:pPr>
    </w:p>
    <w:sectPr w:rsidR="00CE3CA9" w:rsidRPr="008D71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176"/>
    <w:rsid w:val="000F5047"/>
    <w:rsid w:val="00196920"/>
    <w:rsid w:val="0035133F"/>
    <w:rsid w:val="004D21C1"/>
    <w:rsid w:val="008D7176"/>
    <w:rsid w:val="00A62B26"/>
    <w:rsid w:val="00BA3435"/>
    <w:rsid w:val="00CE3C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1211"/>
  <w15:chartTrackingRefBased/>
  <w15:docId w15:val="{13159A67-03E1-45CA-897D-7A656DED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176"/>
    <w:rPr>
      <w:rFonts w:eastAsiaTheme="majorEastAsia" w:cstheme="majorBidi"/>
      <w:color w:val="272727" w:themeColor="text1" w:themeTint="D8"/>
    </w:rPr>
  </w:style>
  <w:style w:type="paragraph" w:styleId="Title">
    <w:name w:val="Title"/>
    <w:basedOn w:val="Normal"/>
    <w:next w:val="Normal"/>
    <w:link w:val="TitleChar"/>
    <w:uiPriority w:val="10"/>
    <w:qFormat/>
    <w:rsid w:val="008D7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176"/>
    <w:pPr>
      <w:spacing w:before="160"/>
      <w:jc w:val="center"/>
    </w:pPr>
    <w:rPr>
      <w:i/>
      <w:iCs/>
      <w:color w:val="404040" w:themeColor="text1" w:themeTint="BF"/>
    </w:rPr>
  </w:style>
  <w:style w:type="character" w:customStyle="1" w:styleId="QuoteChar">
    <w:name w:val="Quote Char"/>
    <w:basedOn w:val="DefaultParagraphFont"/>
    <w:link w:val="Quote"/>
    <w:uiPriority w:val="29"/>
    <w:rsid w:val="008D7176"/>
    <w:rPr>
      <w:i/>
      <w:iCs/>
      <w:color w:val="404040" w:themeColor="text1" w:themeTint="BF"/>
    </w:rPr>
  </w:style>
  <w:style w:type="paragraph" w:styleId="ListParagraph">
    <w:name w:val="List Paragraph"/>
    <w:basedOn w:val="Normal"/>
    <w:uiPriority w:val="34"/>
    <w:qFormat/>
    <w:rsid w:val="008D7176"/>
    <w:pPr>
      <w:ind w:left="720"/>
      <w:contextualSpacing/>
    </w:pPr>
  </w:style>
  <w:style w:type="character" w:styleId="IntenseEmphasis">
    <w:name w:val="Intense Emphasis"/>
    <w:basedOn w:val="DefaultParagraphFont"/>
    <w:uiPriority w:val="21"/>
    <w:qFormat/>
    <w:rsid w:val="008D7176"/>
    <w:rPr>
      <w:i/>
      <w:iCs/>
      <w:color w:val="0F4761" w:themeColor="accent1" w:themeShade="BF"/>
    </w:rPr>
  </w:style>
  <w:style w:type="paragraph" w:styleId="IntenseQuote">
    <w:name w:val="Intense Quote"/>
    <w:basedOn w:val="Normal"/>
    <w:next w:val="Normal"/>
    <w:link w:val="IntenseQuoteChar"/>
    <w:uiPriority w:val="30"/>
    <w:qFormat/>
    <w:rsid w:val="008D7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176"/>
    <w:rPr>
      <w:i/>
      <w:iCs/>
      <w:color w:val="0F4761" w:themeColor="accent1" w:themeShade="BF"/>
    </w:rPr>
  </w:style>
  <w:style w:type="character" w:styleId="IntenseReference">
    <w:name w:val="Intense Reference"/>
    <w:basedOn w:val="DefaultParagraphFont"/>
    <w:uiPriority w:val="32"/>
    <w:qFormat/>
    <w:rsid w:val="008D7176"/>
    <w:rPr>
      <w:b/>
      <w:bCs/>
      <w:smallCaps/>
      <w:color w:val="0F4761" w:themeColor="accent1" w:themeShade="BF"/>
      <w:spacing w:val="5"/>
    </w:rPr>
  </w:style>
  <w:style w:type="character" w:styleId="Hyperlink">
    <w:name w:val="Hyperlink"/>
    <w:basedOn w:val="DefaultParagraphFont"/>
    <w:uiPriority w:val="99"/>
    <w:unhideWhenUsed/>
    <w:rsid w:val="004D21C1"/>
    <w:rPr>
      <w:color w:val="467886" w:themeColor="hyperlink"/>
      <w:u w:val="single"/>
    </w:rPr>
  </w:style>
  <w:style w:type="character" w:styleId="UnresolvedMention">
    <w:name w:val="Unresolved Mention"/>
    <w:basedOn w:val="DefaultParagraphFont"/>
    <w:uiPriority w:val="99"/>
    <w:semiHidden/>
    <w:unhideWhenUsed/>
    <w:rsid w:val="004D21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15</Pages>
  <Words>4581</Words>
  <Characters>26112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Kean Louis  R. Rosales</dc:creator>
  <cp:keywords/>
  <dc:description/>
  <cp:lastModifiedBy>Kean Louis  R. Rosales</cp:lastModifiedBy>
  <cp:revision>2</cp:revision>
  <dcterms:created xsi:type="dcterms:W3CDTF">2026-03-24T02:03:00Z</dcterms:created>
  <dcterms:modified xsi:type="dcterms:W3CDTF">2026-03-24T13:59:00Z</dcterms:modified>
</cp:coreProperties>
</file>