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fluorescent organic molecules, such as Coble C peak 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r w:rsidR="006113FB" w:rsidRPr="006113FB">
        <w:rPr>
          <w:rFonts w:ascii="Helvetica" w:hAnsi="Helvetica" w:cs="Calibri"/>
        </w:rPr>
        <w:t>humic ratios (M:C ratio)</w:t>
      </w:r>
      <w:r w:rsidR="009F2600" w:rsidRPr="006113FB">
        <w:rPr>
          <w:rFonts w:ascii="Helvetica" w:hAnsi="Helvetica" w:cs="Calibri"/>
        </w:rPr>
        <w:t>. 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depleted.</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9" w:name="_Toc232771506"/>
      <w:bookmarkStart w:id="10" w:name="_Toc234162408"/>
      <w:r w:rsidRPr="00F0557B">
        <w:rPr>
          <w:rFonts w:ascii="Calibri" w:hAnsi="Calibri" w:cs="Calibri"/>
          <w:b/>
          <w:bCs/>
          <w:color w:val="000000" w:themeColor="text1"/>
        </w:rPr>
        <w:lastRenderedPageBreak/>
        <w:t>Introduction</w:t>
      </w:r>
      <w:bookmarkEnd w:id="9"/>
      <w:bookmarkEnd w:id="10"/>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1" w:name="_Toc232771507"/>
      <w:bookmarkStart w:id="12" w:name="_Toc234162409"/>
      <w:r w:rsidRPr="00F0557B">
        <w:rPr>
          <w:rFonts w:ascii="Calibri" w:hAnsi="Calibri" w:cs="Calibri"/>
          <w:b/>
          <w:bCs/>
          <w:color w:val="000000" w:themeColor="text1"/>
          <w:sz w:val="24"/>
          <w:szCs w:val="24"/>
        </w:rPr>
        <w:t>Ecological Phase Shifts in Coral Reefs Worldwide</w:t>
      </w:r>
      <w:bookmarkEnd w:id="11"/>
      <w:bookmarkEnd w:id="12"/>
    </w:p>
    <w:p w14:paraId="0B7E1A67" w14:textId="270CEE9B"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 xml:space="preserve">Phase shifts occur due to the combined effect of forcings which are detrimental to coral and favorable to algae. </w:t>
      </w:r>
      <w:commentRangeStart w:id="13"/>
      <w:r w:rsidRPr="00F0557B">
        <w:rPr>
          <w:rFonts w:ascii="Calibri" w:hAnsi="Calibri" w:cs="Calibri"/>
          <w:color w:val="000000" w:themeColor="text1"/>
        </w:rPr>
        <w:t>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commentRangeEnd w:id="13"/>
      <w:r w:rsidR="003E6901" w:rsidRPr="00F0557B">
        <w:rPr>
          <w:rStyle w:val="Marquedecommentaire"/>
          <w:rFonts w:ascii="Calibri" w:hAnsi="Calibri" w:cs="Calibri"/>
          <w:color w:val="000000" w:themeColor="text1"/>
          <w:sz w:val="24"/>
          <w:szCs w:val="24"/>
        </w:rPr>
        <w:commentReference w:id="13"/>
      </w:r>
    </w:p>
    <w:p w14:paraId="61F3CCED" w14:textId="3AAE4DE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w:t>
      </w:r>
      <w:r w:rsidR="007333AB">
        <w:rPr>
          <w:rFonts w:ascii="Calibri" w:hAnsi="Calibri" w:cs="Calibri"/>
          <w:color w:val="000000" w:themeColor="text1"/>
        </w:rPr>
        <w:t xml:space="preserve"> </w:t>
      </w:r>
      <w:r w:rsidR="003E6901">
        <w:rPr>
          <w:rFonts w:ascii="Calibri" w:hAnsi="Calibri" w:cs="Calibri"/>
          <w:color w:val="000000" w:themeColor="text1"/>
        </w:rPr>
        <w:t>Sustained anthropogenic carbon emissions increase the frequency and intensity of detrimental stochastic events, such as tropical cyclones, El-Niño events and marine heatwaves, which promote conditions ideal to induce coral-algae phase shifts by increasing coral mortality (</w:t>
      </w:r>
      <w:r w:rsidR="003E6901" w:rsidRPr="003E6901">
        <w:rPr>
          <w:rFonts w:ascii="Calibri" w:hAnsi="Calibri" w:cs="Calibri"/>
          <w:color w:val="000000" w:themeColor="text1"/>
          <w:highlight w:val="yellow"/>
        </w:rPr>
        <w:t>cite</w:t>
      </w:r>
      <w:r w:rsidR="003E6901">
        <w:rPr>
          <w:rFonts w:ascii="Calibri" w:hAnsi="Calibri" w:cs="Calibri"/>
          <w:color w:val="000000" w:themeColor="text1"/>
        </w:rPr>
        <w:t xml:space="preserve">) </w:t>
      </w:r>
      <w:commentRangeStart w:id="14"/>
      <w:r w:rsidRPr="00F0557B">
        <w:rPr>
          <w:rFonts w:ascii="Calibri" w:hAnsi="Calibri" w:cs="Calibri"/>
          <w:color w:val="000000" w:themeColor="text1"/>
        </w:rPr>
        <w:t>. Changes in benthic community composition affect water column biogeochemistry with potential implications on ecosystem productivity, health, and functions</w:t>
      </w:r>
      <w:commentRangeEnd w:id="14"/>
      <w:r w:rsidR="007333AB">
        <w:rPr>
          <w:rStyle w:val="Marquedecommentaire"/>
          <w:rFonts w:ascii="Calibri" w:hAnsi="Calibri" w:cs="Calibri"/>
          <w:color w:val="000000" w:themeColor="text1"/>
          <w:sz w:val="24"/>
          <w:szCs w:val="24"/>
        </w:rPr>
        <w:commentReference w:id="14"/>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{"citationID":"a10a75po0mg","properties":{"unsorted":false,"formattedCitation":"(Silbiger et al., 2025)","plainCitation":"(Silbiger et al., 2025)","noteIndex":0},"citationItems":[{"id":6445,"uris":["http://zotero.org/users/9067719/items/RN92ZJRA"],"itemData":{"id":6445,"type":"article-journal","abstract":"The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(Silbiger et al., 2025)</w:t>
      </w:r>
      <w:r w:rsidR="007333AB">
        <w:rPr>
          <w:rFonts w:ascii="Calibri" w:hAnsi="Calibri" w:cs="Calibri"/>
          <w:color w:val="000000" w:themeColor="text1"/>
        </w:rPr>
        <w:fldChar w:fldCharType="end"/>
      </w:r>
      <w:r w:rsidRPr="00F0557B">
        <w:rPr>
          <w:rFonts w:ascii="Calibri" w:hAnsi="Calibri" w:cs="Calibri"/>
          <w:color w:val="000000" w:themeColor="text1"/>
        </w:rPr>
        <w:t>.</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5" w:name="_Toc232771508"/>
      <w:bookmarkStart w:id="16"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15"/>
      <w:bookmarkEnd w:id="16"/>
    </w:p>
    <w:p w14:paraId="290B3C96" w14:textId="41EABBD3"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Exudates of benthic primary producers influence microbial metabolism and microbially-mediated processes</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Pr>
          <w:rFonts w:ascii="Calibri" w:hAnsi="Calibri" w:cs="Calibri"/>
          <w:color w:val="000000" w:themeColor="text1"/>
        </w:rPr>
        <w:fldChar w:fldCharType="separate"/>
      </w:r>
      <w:r w:rsidR="00D20A7D" w:rsidRPr="00D20A7D">
        <w:rPr>
          <w:rFonts w:ascii="Calibri" w:hAnsi="Calibri" w:cs="Calibri"/>
          <w:color w:val="000000"/>
          <w:kern w:val="0"/>
          <w:lang w:val="fr-FR"/>
        </w:rPr>
        <w:t>(Wegley Kelly et al., 2021)</w:t>
      </w:r>
      <w:r w:rsidR="007938AA">
        <w:rPr>
          <w:rFonts w:ascii="Calibri" w:hAnsi="Calibri" w:cs="Calibri"/>
          <w:color w:val="000000" w:themeColor="text1"/>
        </w:rPr>
        <w:fldChar w:fldCharType="end"/>
      </w:r>
      <w:r w:rsidR="007938AA">
        <w:rPr>
          <w:rFonts w:ascii="Calibri" w:hAnsi="Calibri" w:cs="Calibri"/>
          <w:color w:val="000000" w:themeColor="text1"/>
        </w:rPr>
        <w:t xml:space="preserve">. </w:t>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D20A7D" w:rsidRPr="00D20A7D">
        <w:rPr>
          <w:rFonts w:ascii="Calibri" w:hAnsi="Calibri" w:cs="Calibri"/>
          <w:color w:val="000000"/>
          <w:kern w:val="0"/>
          <w:lang w:val="fr-FR"/>
        </w:rPr>
        <w:t>(Brocke et al., 2015; 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4162411"/>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387F50B8"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w:instrText>
      </w:r>
      <w:r w:rsidR="00D20A7D">
        <w:rPr>
          <w:rFonts w:ascii="Calibri" w:hAnsi="Calibri" w:cs="Calibri" w:hint="eastAsia"/>
          <w:color w:val="000000" w:themeColor="text1"/>
        </w:rPr>
        <w:instrText>.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not accumulate significantly. Our results indicate that corals and algae release DOM of different quality and the quantity of DOM release increases with inorganic nutrient availability."</w:instrText>
      </w:r>
      <w:r w:rsidR="00D20A7D">
        <w:rPr>
          <w:rFonts w:ascii="Calibri" w:hAnsi="Calibri" w:cs="Calibri"/>
          <w:color w:val="000000" w:themeColor="text1"/>
        </w:rPr>
        <w:instrText xml:space="preserve">,"citation-key":"quinlanFluorescentOrganicExudates2018","container-title":"Limnology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2018; Sparagon et al., 2024; Weber et al., 2022)</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 xml:space="preserve">(Haas et al., 2016; Nelson et al., </w:t>
      </w:r>
      <w:r w:rsidR="008523E2">
        <w:rPr>
          <w:rFonts w:ascii="Calibri" w:hAnsi="Calibri" w:cs="Calibri"/>
          <w:noProof/>
          <w:color w:val="000000" w:themeColor="text1"/>
        </w:rPr>
        <w:lastRenderedPageBreak/>
        <w:t>2013)</w:t>
      </w:r>
      <w:r w:rsidR="008523E2">
        <w:rPr>
          <w:rFonts w:ascii="Calibri" w:hAnsi="Calibri" w:cs="Calibri"/>
          <w:color w:val="000000" w:themeColor="text1"/>
        </w:rPr>
        <w:fldChar w:fldCharType="end"/>
      </w:r>
      <w:r w:rsidRPr="00F0557B">
        <w:rPr>
          <w:rFonts w:ascii="Calibri" w:hAnsi="Calibri" w:cs="Calibri"/>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2F8E6001"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or in-situ surveys to associate net organic matter release and microbial communities in the coral reef ecosystem</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{"citationID":"a23kfte3h9h","properties":{"unsorted":false,"formattedCitation":"(Comstock et al., 2022, 2026; Haas et al., 2011, 2016)","plainCitation":"(Comstock et al., 2022, 2026; Haas et al., 2011, 2016)","noteIndex":0},"citationItems":[{"id":3649,"uris":["http://zotero.org/users/9067719/items/KJMFINSV"],"itemData":{"id":3649,"type":"article-journal","abstract":"Coral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7938AA">
        <w:rPr>
          <w:rFonts w:ascii="Calibri" w:hAnsi="Calibri" w:cs="Calibri"/>
          <w:color w:val="000000" w:themeColor="text1"/>
        </w:rPr>
        <w:fldChar w:fldCharType="separate"/>
      </w:r>
      <w:r w:rsidR="00D20A7D" w:rsidRPr="00D20A7D">
        <w:rPr>
          <w:rFonts w:ascii="Calibri" w:hAnsi="Calibri" w:cs="Calibri"/>
          <w:color w:val="000000"/>
          <w:kern w:val="0"/>
          <w:lang w:val="fr-FR"/>
        </w:rPr>
        <w:t>(Comstock et al., 2022, 2026; Haas et al., 2011, 2016)</w:t>
      </w:r>
      <w:r w:rsidR="007938AA">
        <w:rPr>
          <w:rFonts w:ascii="Calibri" w:hAnsi="Calibri" w:cs="Calibri"/>
          <w:color w:val="000000" w:themeColor="text1"/>
        </w:rPr>
        <w:fldChar w:fldCharType="end"/>
      </w:r>
      <w:r w:rsidRPr="00F0557B">
        <w:rPr>
          <w:rFonts w:ascii="Calibri" w:hAnsi="Calibri" w:cs="Calibri"/>
          <w:color w:val="000000" w:themeColor="text1"/>
        </w:rPr>
        <w:t>.</w:t>
      </w:r>
      <w:r w:rsidR="007938AA">
        <w:rPr>
          <w:rFonts w:ascii="Calibri" w:hAnsi="Calibri" w:cs="Calibri"/>
          <w:color w:val="000000" w:themeColor="text1"/>
        </w:rPr>
        <w:t xml:space="preserve"> </w:t>
      </w:r>
      <w:r w:rsidR="007333AB">
        <w:rPr>
          <w:rFonts w:ascii="Calibri" w:hAnsi="Calibri" w:cs="Calibri"/>
          <w:color w:val="000000" w:themeColor="text1"/>
        </w:rPr>
        <w:t>Links between benthic primary producers and reef microbial metabolism have been investigated in lab and in-situ measurements o</w:t>
      </w:r>
      <w:r w:rsidR="007333AB">
        <w:rPr>
          <w:rFonts w:ascii="Calibri" w:hAnsi="Calibri" w:cs="Calibri"/>
          <w:color w:val="000000" w:themeColor="text1"/>
        </w:rPr>
        <w:t>n isolated individuals</w:t>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(Haas et al., 2013)</w:t>
      </w:r>
      <w:r w:rsidR="007333AB">
        <w:rPr>
          <w:rFonts w:ascii="Calibri" w:hAnsi="Calibri" w:cs="Calibri"/>
          <w:color w:val="000000" w:themeColor="text1"/>
        </w:rPr>
        <w:fldChar w:fldCharType="end"/>
      </w:r>
      <w:r w:rsidR="007333AB">
        <w:rPr>
          <w:rFonts w:ascii="Calibri" w:hAnsi="Calibri" w:cs="Calibri"/>
          <w:color w:val="000000" w:themeColor="text1"/>
        </w:rPr>
        <w:t xml:space="preserve">. However, the effects of </w:t>
      </w:r>
      <w:r w:rsidR="007333AB" w:rsidRPr="00F0557B">
        <w:rPr>
          <w:rFonts w:ascii="Calibri" w:hAnsi="Calibri" w:cs="Calibri"/>
          <w:color w:val="000000" w:themeColor="text1"/>
        </w:rPr>
        <w:t>mixed benthic community assemblages</w:t>
      </w:r>
      <w:r w:rsidR="007333AB">
        <w:rPr>
          <w:rFonts w:ascii="Calibri" w:hAnsi="Calibri" w:cs="Calibri"/>
          <w:color w:val="000000" w:themeColor="text1"/>
        </w:rPr>
        <w:t xml:space="preserve"> on </w:t>
      </w:r>
      <w:r w:rsidR="007333AB" w:rsidRPr="00F0557B">
        <w:rPr>
          <w:rFonts w:ascii="Calibri" w:hAnsi="Calibri" w:cs="Calibri"/>
          <w:color w:val="000000" w:themeColor="text1"/>
        </w:rPr>
        <w:t>organic outputs, microbially mediated processes, and bacterial community structure in coral-algal phase shift conditions</w:t>
      </w:r>
      <w:r w:rsidR="007333AB">
        <w:rPr>
          <w:rFonts w:ascii="Calibri" w:hAnsi="Calibri" w:cs="Calibri"/>
          <w:color w:val="000000" w:themeColor="text1"/>
        </w:rPr>
        <w:t xml:space="preserve"> have not yet been tested</w:t>
      </w:r>
      <w:r w:rsidRPr="00F0557B">
        <w:rPr>
          <w:rFonts w:ascii="Calibri" w:hAnsi="Calibri" w:cs="Calibri"/>
          <w:color w:val="000000" w:themeColor="text1"/>
        </w:rPr>
        <w:t>.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 xml:space="preserve">(Kayal et </w:t>
      </w:r>
      <w:r w:rsidR="005F3C48">
        <w:rPr>
          <w:rFonts w:ascii="Calibri" w:hAnsi="Calibri" w:cs="Calibri"/>
          <w:noProof/>
          <w:color w:val="000000" w:themeColor="text1"/>
        </w:rPr>
        <w:lastRenderedPageBreak/>
        <w:t>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1" w:name="_Toc232771511"/>
      <w:bookmarkStart w:id="22" w:name="_Toc234162413"/>
      <w:r w:rsidRPr="00F0557B">
        <w:rPr>
          <w:rFonts w:ascii="Calibri" w:hAnsi="Calibri" w:cs="Calibri"/>
          <w:b/>
          <w:bCs/>
          <w:color w:val="000000" w:themeColor="text1"/>
          <w:sz w:val="24"/>
          <w:szCs w:val="24"/>
        </w:rPr>
        <w:t>Project Objectives</w:t>
      </w:r>
      <w:bookmarkEnd w:id="21"/>
      <w:bookmarkEnd w:id="22"/>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3" w:name="_Toc232771512"/>
      <w:bookmarkStart w:id="24" w:name="_Toc234162414"/>
      <w:r w:rsidRPr="00F0557B">
        <w:rPr>
          <w:rFonts w:ascii="Calibri" w:hAnsi="Calibri" w:cs="Calibri"/>
          <w:b/>
          <w:bCs/>
          <w:color w:val="000000" w:themeColor="text1"/>
        </w:rPr>
        <w:lastRenderedPageBreak/>
        <w:t>Methods and Materials</w:t>
      </w:r>
      <w:bookmarkEnd w:id="23"/>
      <w:bookmarkEnd w:id="24"/>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5" w:name="_Toc232771513"/>
      <w:bookmarkStart w:id="26" w:name="_Toc234162415"/>
      <w:r w:rsidRPr="00F0557B">
        <w:rPr>
          <w:rFonts w:ascii="Calibri" w:hAnsi="Calibri" w:cs="Calibri"/>
          <w:b/>
          <w:bCs/>
          <w:color w:val="000000" w:themeColor="text1"/>
          <w:sz w:val="24"/>
          <w:szCs w:val="24"/>
        </w:rPr>
        <w:t>Site Description Overview</w:t>
      </w:r>
      <w:bookmarkEnd w:id="25"/>
      <w:bookmarkEnd w:id="26"/>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7" w:name="_Toc232771514"/>
      <w:bookmarkStart w:id="28" w:name="_Toc234162416"/>
      <w:r w:rsidRPr="00F0557B">
        <w:rPr>
          <w:rFonts w:ascii="Calibri" w:hAnsi="Calibri" w:cs="Calibri"/>
          <w:b/>
          <w:bCs/>
          <w:color w:val="000000" w:themeColor="text1"/>
          <w:sz w:val="24"/>
          <w:szCs w:val="24"/>
        </w:rPr>
        <w:t>Benthic Organism Collection for Mesocosm Communities</w:t>
      </w:r>
      <w:bookmarkEnd w:id="27"/>
      <w:bookmarkEnd w:id="28"/>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29"/>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29"/>
      <w:r w:rsidR="005F3C48" w:rsidRPr="00F0557B">
        <w:rPr>
          <w:rStyle w:val="Marquedecommentaire"/>
          <w:rFonts w:ascii="Calibri" w:hAnsi="Calibri" w:cs="Calibri"/>
          <w:color w:val="000000" w:themeColor="text1"/>
          <w:sz w:val="24"/>
          <w:szCs w:val="24"/>
        </w:rPr>
        <w:commentReference w:id="29"/>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0" w:name="_Toc232771515"/>
      <w:bookmarkStart w:id="31" w:name="_Toc234162417"/>
      <w:r w:rsidRPr="00F0557B">
        <w:rPr>
          <w:rFonts w:ascii="Calibri" w:hAnsi="Calibri" w:cs="Calibri"/>
          <w:b/>
          <w:bCs/>
          <w:color w:val="000000" w:themeColor="text1"/>
          <w:sz w:val="24"/>
          <w:szCs w:val="24"/>
        </w:rPr>
        <w:lastRenderedPageBreak/>
        <w:t>Mesocosm Experiment Set Up</w:t>
      </w:r>
      <w:bookmarkEnd w:id="30"/>
      <w:bookmarkEnd w:id="31"/>
    </w:p>
    <w:p w14:paraId="5E59FE93" w14:textId="1CA2BB48"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5F3C48">
        <w:rPr>
          <w:rFonts w:ascii="Calibri" w:hAnsi="Calibri" w:cs="Calibri"/>
          <w:b/>
          <w:bCs/>
          <w:color w:val="000000" w:themeColor="text1"/>
        </w:rPr>
        <w:t>XX</w:t>
      </w:r>
      <w:commentRangeEnd w:id="32"/>
      <w:r w:rsidR="005F3C48" w:rsidRPr="00F0557B">
        <w:rPr>
          <w:rStyle w:val="Marquedecommentaire"/>
          <w:rFonts w:ascii="Calibri" w:hAnsi="Calibri" w:cs="Calibri"/>
          <w:color w:val="000000" w:themeColor="text1"/>
          <w:sz w:val="24"/>
          <w:szCs w:val="24"/>
        </w:rPr>
        <w:commentReference w:id="32"/>
      </w:r>
      <w:r w:rsidRPr="00F0557B">
        <w:rPr>
          <w:rFonts w:ascii="Calibri" w:hAnsi="Calibri" w:cs="Calibri"/>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Pr>
          <w:rFonts w:ascii="Calibri" w:hAnsi="Calibri" w:cs="Calibri"/>
          <w:color w:val="000000" w:themeColor="text1"/>
        </w:rPr>
        <w:t xml:space="preserve"> </w:t>
      </w:r>
      <w:r w:rsidR="00942223" w:rsidRPr="00942223">
        <w:rPr>
          <w:rFonts w:ascii="Calibri" w:hAnsi="Calibri" w:cs="Calibri"/>
          <w:i/>
          <w:iCs/>
          <w:color w:val="000000" w:themeColor="text1"/>
        </w:rPr>
        <w:t>The 2-dimensional planar benthic cover of the mesocosms was manipulated to replicate the percent cover recorded in the LTER time series</w:t>
      </w:r>
      <w:r w:rsidR="00942223" w:rsidRPr="00942223">
        <w:rPr>
          <w:rFonts w:ascii="Calibri" w:hAnsi="Calibri" w:cs="Calibri"/>
          <w:i/>
          <w:iCs/>
          <w:color w:val="000000" w:themeColor="text1"/>
        </w:rPr>
        <w:t xml:space="preserve"> fromt the years 2006, 2011, and 2019</w:t>
      </w:r>
      <w:r w:rsidR="00942223" w:rsidRPr="00942223">
        <w:rPr>
          <w:rFonts w:ascii="Calibri" w:hAnsi="Calibri" w:cs="Calibri"/>
          <w:i/>
          <w:iCs/>
          <w:color w:val="000000" w:themeColor="text1"/>
        </w:rPr>
        <w:t xml:space="preserve">.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post-Acanthaster planci outbreak and post-cyclonic 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942223">
        <w:rPr>
          <w:rFonts w:ascii="Calibri" w:hAnsi="Calibri" w:cs="Calibri"/>
          <w:color w:val="000000" w:themeColor="text1"/>
        </w:rPr>
        <w:fldChar w:fldCharType="begin"/>
      </w:r>
      <w:r w:rsidR="00942223" w:rsidRPr="00942223">
        <w:rPr>
          <w:rFonts w:ascii="Calibri" w:hAnsi="Calibri" w:cs="Calibri"/>
          <w:color w:val="000000" w:themeColor="text1"/>
        </w:rPr>
        <w:instrText xml:space="preserve"> REF _Ref232772943 \h </w:instrText>
      </w:r>
      <w:r w:rsidR="00942223" w:rsidRPr="00942223">
        <w:rPr>
          <w:rFonts w:ascii="Calibri" w:hAnsi="Calibri" w:cs="Calibri"/>
          <w:color w:val="000000" w:themeColor="text1"/>
        </w:rPr>
      </w:r>
      <w:r w:rsidR="00942223">
        <w:rPr>
          <w:rFonts w:ascii="Calibri" w:hAnsi="Calibri" w:cs="Calibri"/>
          <w:color w:val="000000" w:themeColor="text1"/>
        </w:rPr>
        <w:instrText xml:space="preserve"> \* MERGEFORMAT </w:instrText>
      </w:r>
      <w:r w:rsidR="00942223" w:rsidRPr="00942223">
        <w:rPr>
          <w:rFonts w:ascii="Calibri" w:hAnsi="Calibri" w:cs="Calibri"/>
          <w:color w:val="000000" w:themeColor="text1"/>
        </w:rPr>
        <w:fldChar w:fldCharType="separate"/>
      </w:r>
      <w:r w:rsidR="00942223" w:rsidRPr="00942223">
        <w:rPr>
          <w:i/>
          <w:iCs/>
        </w:rPr>
        <w:t xml:space="preserve">Figure </w:t>
      </w:r>
      <w:r w:rsidR="00942223" w:rsidRPr="00942223">
        <w:rPr>
          <w:i/>
          <w:iCs/>
          <w:noProof/>
        </w:rPr>
        <w:t>1</w:t>
      </w:r>
      <w:r w:rsidR="00942223" w:rsidRPr="00942223">
        <w:rPr>
          <w:rFonts w:ascii="Calibri" w:hAnsi="Calibri" w:cs="Calibri"/>
          <w:color w:val="000000" w:themeColor="text1"/>
        </w:rPr>
        <w:fldChar w:fldCharType="end"/>
      </w:r>
      <w:r w:rsidR="00942223" w:rsidRPr="00942223">
        <w:rPr>
          <w:rFonts w:ascii="Calibri" w:hAnsi="Calibri" w:cs="Calibri"/>
          <w:color w:val="000000" w:themeColor="text1"/>
        </w:rPr>
        <w:t>)</w:t>
      </w:r>
      <w:r w:rsidR="00942223" w:rsidRPr="00942223">
        <w:rPr>
          <w:rFonts w:ascii="Calibri" w:hAnsi="Calibri" w:cs="Calibri"/>
          <w:color w:val="000000" w:themeColor="text1"/>
        </w:rPr>
        <w:t xml:space="preserve">. </w:t>
      </w:r>
      <w:r w:rsidR="00942223" w:rsidRPr="00942223">
        <w:rPr>
          <w:rFonts w:ascii="Calibri" w:hAnsi="Calibri" w:cs="Calibri"/>
          <w:i/>
          <w:iCs/>
          <w:color w:val="000000" w:themeColor="text1"/>
        </w:rPr>
        <w:t>In addition to our three benthic cover treatments, a seawater-only mesocosm was used as a control to distinguish natural seawater chemistry shifts from those caused by benthic assembl</w:t>
      </w:r>
      <w:r w:rsidR="00942223" w:rsidRPr="00942223">
        <w:rPr>
          <w:rFonts w:ascii="Calibri" w:hAnsi="Calibri" w:cs="Calibri"/>
          <w:i/>
          <w:iCs/>
          <w:color w:val="000000" w:themeColor="text1"/>
        </w:rPr>
        <w:t>ag</w:t>
      </w:r>
      <w:r w:rsidR="00942223" w:rsidRPr="00942223">
        <w:rPr>
          <w:rFonts w:ascii="Calibri" w:hAnsi="Calibri" w:cs="Calibri"/>
          <w:i/>
          <w:iCs/>
          <w:color w:val="000000" w:themeColor="text1"/>
        </w:rPr>
        <w:t>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7" w:name="_Toc232771516"/>
      <w:bookmarkStart w:id="38" w:name="_Toc234162418"/>
      <w:r w:rsidRPr="00F0557B">
        <w:rPr>
          <w:rFonts w:ascii="Calibri" w:hAnsi="Calibri" w:cs="Calibri"/>
          <w:b/>
          <w:bCs/>
          <w:color w:val="000000" w:themeColor="text1"/>
          <w:sz w:val="24"/>
          <w:szCs w:val="24"/>
        </w:rPr>
        <w:t>Water Sample Collection</w:t>
      </w:r>
      <w:bookmarkEnd w:id="37"/>
      <w:bookmarkEnd w:id="38"/>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39" w:name="_Toc232771517"/>
      <w:bookmarkStart w:id="40" w:name="_Toc234162419"/>
      <w:r w:rsidRPr="00F0557B">
        <w:rPr>
          <w:rFonts w:ascii="Calibri" w:hAnsi="Calibri" w:cs="Calibri"/>
          <w:b/>
          <w:bCs/>
          <w:color w:val="000000" w:themeColor="text1"/>
          <w:sz w:val="24"/>
          <w:szCs w:val="24"/>
        </w:rPr>
        <w:t>Subsample Collection and Laboratory Analysis</w:t>
      </w:r>
      <w:bookmarkEnd w:id="39"/>
      <w:bookmarkEnd w:id="40"/>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1" w:name="_Toc232771518"/>
      <w:bookmarkStart w:id="42" w:name="_Toc234162420"/>
      <w:r w:rsidRPr="00F0557B">
        <w:rPr>
          <w:rFonts w:ascii="Calibri" w:hAnsi="Calibri" w:cs="Calibri"/>
          <w:b/>
          <w:bCs/>
          <w:color w:val="000000" w:themeColor="text1"/>
          <w:sz w:val="24"/>
          <w:szCs w:val="24"/>
        </w:rPr>
        <w:t>Dissolved Organic Carbon (DOC)</w:t>
      </w:r>
      <w:bookmarkEnd w:id="41"/>
      <w:bookmarkEnd w:id="42"/>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43"/>
      <w:r w:rsidRPr="00F0557B">
        <w:rPr>
          <w:rFonts w:ascii="Calibri" w:hAnsi="Calibri" w:cs="Calibri"/>
          <w:color w:val="000000" w:themeColor="text1"/>
        </w:rPr>
        <w:t>140 µM; n= 72</w:t>
      </w:r>
      <w:commentRangeEnd w:id="43"/>
      <w:r w:rsidR="005125EE" w:rsidRPr="00F0557B">
        <w:rPr>
          <w:rStyle w:val="Marquedecommentaire"/>
          <w:rFonts w:ascii="Calibri" w:hAnsi="Calibri" w:cs="Calibri"/>
          <w:color w:val="000000" w:themeColor="text1"/>
          <w:sz w:val="24"/>
          <w:szCs w:val="24"/>
        </w:rPr>
        <w:commentReference w:id="43"/>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4" w:name="_Toc232771519"/>
      <w:bookmarkStart w:id="45" w:name="_Toc234162421"/>
      <w:r w:rsidRPr="00F0557B">
        <w:rPr>
          <w:rFonts w:ascii="Calibri" w:hAnsi="Calibri" w:cs="Calibri"/>
          <w:b/>
          <w:bCs/>
          <w:color w:val="000000" w:themeColor="text1"/>
          <w:sz w:val="24"/>
          <w:szCs w:val="24"/>
        </w:rPr>
        <w:lastRenderedPageBreak/>
        <w:t>Fluorescent Dissolved Organic Matter (fDOM) and Nutrients</w:t>
      </w:r>
      <w:bookmarkEnd w:id="44"/>
      <w:bookmarkEnd w:id="45"/>
    </w:p>
    <w:p w14:paraId="7EBAB526" w14:textId="11D67B74"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 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6" w:name="_Toc232771520"/>
      <w:bookmarkStart w:id="47" w:name="_Toc234162422"/>
      <w:r w:rsidRPr="00F0557B">
        <w:rPr>
          <w:rFonts w:ascii="Calibri" w:hAnsi="Calibri" w:cs="Calibri"/>
          <w:b/>
          <w:bCs/>
          <w:color w:val="000000" w:themeColor="text1"/>
          <w:sz w:val="24"/>
          <w:szCs w:val="24"/>
        </w:rPr>
        <w:lastRenderedPageBreak/>
        <w:t>Chlorophyll-a</w:t>
      </w:r>
      <w:bookmarkEnd w:id="46"/>
      <w:bookmarkEnd w:id="47"/>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48"/>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8"/>
      <w:r w:rsidR="005125EE" w:rsidRPr="00F0557B">
        <w:rPr>
          <w:rStyle w:val="Marquedecommentaire"/>
          <w:rFonts w:ascii="Calibri" w:hAnsi="Calibri" w:cs="Calibri"/>
          <w:color w:val="000000" w:themeColor="text1"/>
          <w:sz w:val="24"/>
          <w:szCs w:val="24"/>
        </w:rPr>
        <w:commentReference w:id="48"/>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9" w:name="_Toc232771521"/>
      <w:bookmarkStart w:id="50" w:name="_Toc234162423"/>
      <w:r w:rsidRPr="00F0557B">
        <w:rPr>
          <w:rFonts w:ascii="Calibri" w:hAnsi="Calibri" w:cs="Calibri"/>
          <w:b/>
          <w:bCs/>
          <w:color w:val="000000" w:themeColor="text1"/>
          <w:sz w:val="24"/>
          <w:szCs w:val="24"/>
        </w:rPr>
        <w:t>Cell Abundance via Flow Cytometry</w:t>
      </w:r>
      <w:bookmarkEnd w:id="49"/>
      <w:bookmarkEnd w:id="50"/>
    </w:p>
    <w:p w14:paraId="150692D8" w14:textId="428D3F25"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1" w:name="_Toc232771522"/>
      <w:bookmarkStart w:id="52" w:name="_Toc234162424"/>
      <w:r w:rsidRPr="00F0557B">
        <w:rPr>
          <w:rFonts w:ascii="Calibri" w:hAnsi="Calibri" w:cs="Calibri"/>
          <w:b/>
          <w:bCs/>
          <w:color w:val="000000" w:themeColor="text1"/>
          <w:sz w:val="24"/>
          <w:szCs w:val="24"/>
        </w:rPr>
        <w:t>Bacterial Community Structure</w:t>
      </w:r>
      <w:bookmarkEnd w:id="51"/>
      <w:bookmarkEnd w:id="52"/>
    </w:p>
    <w:p w14:paraId="3BD28D81" w14:textId="0A457666"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3" w:name="_Toc232771523"/>
      <w:bookmarkStart w:id="54" w:name="_Toc234162425"/>
      <w:r w:rsidRPr="00F0557B">
        <w:rPr>
          <w:rFonts w:ascii="Calibri" w:hAnsi="Calibri" w:cs="Calibri"/>
          <w:b/>
          <w:bCs/>
          <w:color w:val="000000" w:themeColor="text1"/>
          <w:sz w:val="24"/>
          <w:szCs w:val="24"/>
        </w:rPr>
        <w:t>Statistical Analysis</w:t>
      </w:r>
      <w:bookmarkEnd w:id="53"/>
      <w:bookmarkEnd w:id="54"/>
    </w:p>
    <w:p w14:paraId="1DA617E4" w14:textId="3A1FCE29"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589EA12F"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lastRenderedPageBreak/>
        <w:t>To investigate the bacterial community changes, 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distance matrix generated from the MetaFlow|mics pipeline with </w:t>
      </w:r>
      <w:commentRangeStart w:id="55"/>
      <w:commentRangeStart w:id="56"/>
      <w:r w:rsidR="001E71FC" w:rsidRPr="00D01DAF">
        <w:rPr>
          <w:rFonts w:ascii="Calibri" w:hAnsi="Calibri" w:cs="Calibri"/>
          <w:color w:val="000000" w:themeColor="text1"/>
        </w:rPr>
        <w:t>treatments, sampling time point</w:t>
      </w:r>
      <w:commentRangeEnd w:id="55"/>
      <w:r w:rsidR="00D01DAF" w:rsidRPr="00D01DAF">
        <w:rPr>
          <w:rStyle w:val="Marquedecommentaire"/>
          <w:rFonts w:ascii="Calibri" w:hAnsi="Calibri" w:cs="Calibri"/>
          <w:color w:val="000000" w:themeColor="text1"/>
          <w:sz w:val="24"/>
          <w:szCs w:val="24"/>
        </w:rPr>
        <w:commentReference w:id="55"/>
      </w:r>
      <w:commentRangeEnd w:id="56"/>
      <w:r w:rsidR="00EB746F" w:rsidRPr="00D01DAF">
        <w:rPr>
          <w:rStyle w:val="Marquedecommentaire"/>
          <w:rFonts w:ascii="Calibri" w:hAnsi="Calibri" w:cs="Calibri"/>
          <w:color w:val="000000" w:themeColor="text1"/>
          <w:sz w:val="24"/>
          <w:szCs w:val="24"/>
        </w:rPr>
        <w:commentReference w:id="56"/>
      </w:r>
      <w:r w:rsidR="001E71FC" w:rsidRPr="00D01DAF">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w:t>
      </w:r>
      <w:r w:rsidRPr="00D01DAF">
        <w:rPr>
          <w:rFonts w:ascii="Calibri" w:hAnsi="Calibri" w:cs="Calibri"/>
          <w:color w:val="000000" w:themeColor="text1"/>
        </w:rPr>
        <w:t xml:space="preserve">elative abundance </w:t>
      </w:r>
      <w:r w:rsidRPr="00D01DAF">
        <w:rPr>
          <w:rFonts w:ascii="Calibri" w:hAnsi="Calibri" w:cs="Calibri"/>
          <w:color w:val="000000" w:themeColor="text1"/>
        </w:rPr>
        <w:t>of b</w:t>
      </w:r>
      <w:r w:rsidRPr="00D01DAF">
        <w:rPr>
          <w:rFonts w:ascii="Calibri" w:hAnsi="Calibri" w:cs="Calibri"/>
          <w:color w:val="000000" w:themeColor="text1"/>
        </w:rPr>
        <w:t xml:space="preserve">acterial genera </w:t>
      </w:r>
      <w:r w:rsidRPr="00D01DAF">
        <w:rPr>
          <w:rFonts w:ascii="Calibri" w:hAnsi="Calibri" w:cs="Calibri"/>
          <w:color w:val="000000" w:themeColor="text1"/>
        </w:rPr>
        <w:t>was</w:t>
      </w:r>
      <w:r w:rsidRPr="00D01DAF">
        <w:rPr>
          <w:rFonts w:ascii="Calibri" w:hAnsi="Calibri" w:cs="Calibri"/>
          <w:color w:val="000000" w:themeColor="text1"/>
        </w:rPr>
        <w:t xml:space="preserve">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Bacterial taxa were simplified to exclude rare genera which had a summed abundance less than 0.5% in at least 3 samples. </w:t>
      </w:r>
      <w:r w:rsidRPr="00D01DAF">
        <w:rPr>
          <w:rFonts w:ascii="Calibri" w:hAnsi="Calibri" w:cs="Calibri"/>
          <w:color w:val="000000" w:themeColor="text1"/>
        </w:rPr>
        <w:t>The r</w:t>
      </w:r>
      <w:r w:rsidRPr="00D01DAF">
        <w:rPr>
          <w:rFonts w:ascii="Calibri" w:hAnsi="Calibri" w:cs="Calibri"/>
          <w:color w:val="000000" w:themeColor="text1"/>
        </w:rPr>
        <w:t>elative abundance of abunda</w:t>
      </w:r>
      <w:r w:rsidRPr="00D01DAF">
        <w:rPr>
          <w:rFonts w:ascii="Calibri" w:hAnsi="Calibri" w:cs="Calibri"/>
          <w:color w:val="000000" w:themeColor="text1"/>
        </w:rPr>
        <w:t>n</w:t>
      </w:r>
      <w:r w:rsidRPr="00D01DAF">
        <w:rPr>
          <w:rFonts w:ascii="Calibri" w:hAnsi="Calibri" w:cs="Calibri"/>
          <w:color w:val="000000" w:themeColor="text1"/>
        </w:rPr>
        <w:t xml:space="preserve">t taxa </w:t>
      </w:r>
      <w:r w:rsidRPr="00D01DAF">
        <w:rPr>
          <w:rFonts w:ascii="Calibri" w:hAnsi="Calibri" w:cs="Calibri"/>
          <w:color w:val="000000" w:themeColor="text1"/>
        </w:rPr>
        <w:t>was</w:t>
      </w:r>
      <w:r w:rsidRPr="00D01DAF">
        <w:rPr>
          <w:rFonts w:ascii="Calibri" w:hAnsi="Calibri" w:cs="Calibri"/>
          <w:color w:val="000000" w:themeColor="text1"/>
        </w:rPr>
        <w:t xml:space="preserve"> summed in each samples, square-root transformed, and z-scored before being plotted on a heatmap. Module membership was extracted from the heatmap. The relative abundance of each module was summed in each sample and modeled statistically to understand the effect</w:t>
      </w:r>
      <w:r w:rsidRPr="00D01DAF">
        <w:rPr>
          <w:rFonts w:ascii="Calibri" w:hAnsi="Calibri" w:cs="Calibri"/>
          <w:color w:val="000000" w:themeColor="text1"/>
        </w:rPr>
        <w:t>s</w:t>
      </w:r>
      <w:r w:rsidRPr="00D01DAF">
        <w:rPr>
          <w:rFonts w:ascii="Calibri" w:hAnsi="Calibri" w:cs="Calibri"/>
          <w:color w:val="000000" w:themeColor="text1"/>
        </w:rPr>
        <w:t xml:space="preserve"> of treatment and tim</w:t>
      </w:r>
      <w:r w:rsidRPr="00D01DAF">
        <w:rPr>
          <w:rFonts w:ascii="Calibri" w:hAnsi="Calibri" w:cs="Calibri"/>
          <w:color w:val="000000" w:themeColor="text1"/>
        </w:rPr>
        <w:t>e on enrichment patterns</w:t>
      </w:r>
      <w:r w:rsidRPr="00D01DAF">
        <w:rPr>
          <w:rFonts w:ascii="Calibri" w:hAnsi="Calibri" w:cs="Calibri"/>
          <w:color w:val="000000" w:themeColor="text1"/>
        </w:rPr>
        <w:t>.</w:t>
      </w:r>
      <w:r w:rsidRPr="00D01DAF">
        <w:rPr>
          <w:rFonts w:ascii="Calibri" w:hAnsi="Calibri" w:cs="Calibri"/>
          <w:color w:val="000000" w:themeColor="text1"/>
        </w:rPr>
        <w:t xml:space="preserve"> </w:t>
      </w:r>
      <w:r w:rsidR="009A55A5" w:rsidRPr="00D01DAF">
        <w:rPr>
          <w:rFonts w:ascii="Calibri" w:hAnsi="Calibri" w:cs="Calibri"/>
          <w:color w:val="000000" w:themeColor="text1"/>
        </w:rPr>
        <w:t xml:space="preserve">To understand changes in microbial community structure, we eventually ran </w:t>
      </w:r>
      <w:r w:rsidR="009A55A5" w:rsidRPr="00D01DAF">
        <w:rPr>
          <w:rFonts w:ascii="Calibri" w:hAnsi="Calibri" w:cs="Calibri"/>
          <w:color w:val="000000" w:themeColor="text1"/>
        </w:rPr>
        <w:t>linear</w:t>
      </w:r>
      <w:r w:rsidR="009A55A5" w:rsidRPr="00D01DAF">
        <w:rPr>
          <w:rFonts w:ascii="Calibri" w:hAnsi="Calibri" w:cs="Calibri"/>
          <w:color w:val="000000" w:themeColor="text1"/>
        </w:rPr>
        <w:t xml:space="preserve"> mixed-effects models and Dunnett’s post-hoc test for each bacterial genus to identify specific microbial taxa which are sensitive to the effects of treatment and time in our experiment. </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57" w:name="_Toc232771524"/>
      <w:bookmarkStart w:id="58" w:name="_Toc234162426"/>
      <w:commentRangeStart w:id="59"/>
      <w:r w:rsidRPr="00F0557B">
        <w:rPr>
          <w:rFonts w:ascii="Calibri" w:hAnsi="Calibri" w:cs="Calibri"/>
          <w:b/>
          <w:bCs/>
          <w:color w:val="000000" w:themeColor="text1"/>
        </w:rPr>
        <w:lastRenderedPageBreak/>
        <w:t>Results</w:t>
      </w:r>
      <w:bookmarkEnd w:id="57"/>
      <w:bookmarkEnd w:id="58"/>
      <w:commentRangeEnd w:id="59"/>
      <w:r w:rsidR="004A3DE3" w:rsidRPr="00F3107C">
        <w:rPr>
          <w:rStyle w:val="Marquedecommentaire"/>
          <w:rFonts w:ascii="Calibri" w:hAnsi="Calibri" w:cs="Calibri"/>
          <w:b/>
          <w:bCs/>
          <w:color w:val="000000" w:themeColor="text1"/>
          <w:sz w:val="40"/>
          <w:szCs w:val="40"/>
        </w:rPr>
        <w:commentReference w:id="59"/>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60" w:name="_Toc232771525"/>
      <w:bookmarkStart w:id="61" w:name="_Toc234162427"/>
      <w:r>
        <w:rPr>
          <w:rFonts w:ascii="Calibri" w:hAnsi="Calibri" w:cs="Calibri"/>
          <w:b/>
          <w:bCs/>
          <w:color w:val="000000" w:themeColor="text1"/>
          <w:sz w:val="24"/>
          <w:szCs w:val="24"/>
        </w:rPr>
        <w:t xml:space="preserve">Inorganic Chemistry </w:t>
      </w:r>
      <w:bookmarkEnd w:id="60"/>
      <w:bookmarkEnd w:id="61"/>
    </w:p>
    <w:p w14:paraId="20414B97" w14:textId="7882B3AF"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4035A5" w:rsidRPr="00B17216">
        <w:rPr>
          <w:rFonts w:ascii="Calibri" w:hAnsi="Calibri" w:cs="Calibri"/>
          <w:color w:val="000000" w:themeColor="text1"/>
        </w:rPr>
        <w:t>All nutrients significantly differed among sampling time points (</w:t>
      </w:r>
      <w:commentRangeStart w:id="62"/>
      <w:r w:rsidR="004035A5" w:rsidRPr="00B17216">
        <w:rPr>
          <w:rFonts w:ascii="Calibri" w:hAnsi="Calibri" w:cs="Calibri"/>
          <w:color w:val="000000" w:themeColor="text1"/>
        </w:rPr>
        <w:t>Supplemental</w:t>
      </w:r>
      <w:commentRangeEnd w:id="62"/>
      <w:r w:rsidR="004035A5">
        <w:rPr>
          <w:rStyle w:val="Marquedecommentaire"/>
          <w:rFonts w:ascii="Calibri" w:hAnsi="Calibri" w:cs="Calibri"/>
          <w:color w:val="000000" w:themeColor="text1"/>
          <w:sz w:val="24"/>
          <w:szCs w:val="24"/>
        </w:rPr>
        <w:commentReference w:id="62"/>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 xml:space="preserve">that changed through time </w:t>
      </w:r>
      <w:r w:rsidR="004035A5">
        <w:rPr>
          <w:rFonts w:ascii="Helvetica Neue" w:hAnsi="Helvetica Neue"/>
          <w:color w:val="000000"/>
        </w:rPr>
        <w:t>(F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while the other nutrients d</w:t>
      </w:r>
      <w:r w:rsidR="004035A5">
        <w:rPr>
          <w:rFonts w:ascii="Calibri" w:hAnsi="Calibri" w:cs="Calibri"/>
          <w:color w:val="000000" w:themeColor="text1"/>
        </w:rPr>
        <w:t>id</w:t>
      </w:r>
      <w:r w:rsidR="00B17216" w:rsidRPr="00B17216">
        <w:rPr>
          <w:rFonts w:ascii="Calibri" w:hAnsi="Calibri" w:cs="Calibri"/>
          <w:color w:val="000000" w:themeColor="text1"/>
        </w:rPr>
        <w:t xml:space="preserve">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w:t>
      </w:r>
      <w:r w:rsidR="00E8437B">
        <w:rPr>
          <w:rFonts w:ascii="Calibri" w:hAnsi="Calibri" w:cs="Calibri"/>
          <w:color w:val="000000" w:themeColor="text1"/>
        </w:rPr>
        <w:t xml:space="preserve"> </w:t>
      </w:r>
      <w:r w:rsidR="00B17216" w:rsidRPr="00B17216">
        <w:rPr>
          <w:rFonts w:ascii="Calibri" w:hAnsi="Calibri" w:cs="Calibri"/>
          <w:color w:val="000000" w:themeColor="text1"/>
        </w:rPr>
        <w:t>0.05</w:t>
      </w:r>
      <w:r w:rsidR="00E8437B">
        <w:rPr>
          <w:rFonts w:ascii="Calibri" w:hAnsi="Calibri" w:cs="Calibri"/>
          <w:color w:val="000000" w:themeColor="text1"/>
        </w:rPr>
        <w:t>)</w:t>
      </w:r>
      <w:r w:rsidR="00B17216" w:rsidRPr="00B17216">
        <w:rPr>
          <w:rFonts w:ascii="Calibri" w:hAnsi="Calibri" w:cs="Calibri"/>
          <w:color w:val="000000" w:themeColor="text1"/>
        </w:rPr>
        <w:t xml:space="preserve">.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 nitrate, 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However, silicate </w:t>
      </w:r>
      <w:r w:rsidR="00136BF9">
        <w:rPr>
          <w:rFonts w:ascii="Calibri" w:hAnsi="Calibri" w:cs="Calibri"/>
          <w:color w:val="000000" w:themeColor="text1"/>
        </w:rPr>
        <w:t xml:space="preserve">exhibited </w:t>
      </w:r>
      <w:r w:rsidR="00B17216" w:rsidRPr="00B17216">
        <w:rPr>
          <w:rFonts w:ascii="Calibri" w:hAnsi="Calibri" w:cs="Calibri"/>
          <w:color w:val="000000" w:themeColor="text1"/>
        </w:rPr>
        <w:t xml:space="preserve">variations driven </w:t>
      </w:r>
      <w:r w:rsidR="00136BF9">
        <w:rPr>
          <w:rFonts w:ascii="Calibri" w:hAnsi="Calibri" w:cs="Calibri"/>
          <w:color w:val="000000" w:themeColor="text1"/>
        </w:rPr>
        <w:t xml:space="preserve">by </w:t>
      </w:r>
      <w:r w:rsidR="00B17216" w:rsidRPr="00B17216">
        <w:rPr>
          <w:rFonts w:ascii="Calibri" w:hAnsi="Calibri" w:cs="Calibri"/>
          <w:color w:val="000000" w:themeColor="text1"/>
        </w:rPr>
        <w:t xml:space="preserve">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63" w:name="_Ref234488538"/>
      <w:bookmarkStart w:id="64" w:name="_Toc234162440"/>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63"/>
      <w:r w:rsidRPr="00F554F4">
        <w:rPr>
          <w:rFonts w:ascii="Calibri" w:hAnsi="Calibri" w:cs="Calibri"/>
          <w:b/>
          <w:bCs/>
          <w:sz w:val="24"/>
          <w:szCs w:val="24"/>
        </w:rPr>
        <w:t>: Nutrient variations by treatment and sampling time.</w:t>
      </w:r>
      <w:bookmarkEnd w:id="64"/>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65" w:name="_Toc232771526"/>
      <w:bookmarkStart w:id="66" w:name="_Toc234162428"/>
      <w:r w:rsidRPr="00F0557B">
        <w:rPr>
          <w:rFonts w:ascii="Calibri" w:hAnsi="Calibri" w:cs="Calibri"/>
          <w:b/>
          <w:bCs/>
          <w:color w:val="000000" w:themeColor="text1"/>
          <w:sz w:val="24"/>
          <w:szCs w:val="24"/>
        </w:rPr>
        <w:t>Organic Matter Exudation Rates in Mixed Benthic Communities</w:t>
      </w:r>
      <w:bookmarkEnd w:id="65"/>
      <w:bookmarkEnd w:id="66"/>
    </w:p>
    <w:p w14:paraId="091776EE" w14:textId="5A1B463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that algae-enriched treatments were associated with significant enrichment of coble C index (p = 0.02) and 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67"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67"/>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8" w:name="_Toc232771527"/>
      <w:bookmarkStart w:id="69" w:name="_Toc234162429"/>
      <w:r w:rsidRPr="00F0557B">
        <w:rPr>
          <w:rFonts w:ascii="Calibri" w:hAnsi="Calibri" w:cs="Calibri"/>
          <w:b/>
          <w:bCs/>
          <w:color w:val="000000" w:themeColor="text1"/>
          <w:sz w:val="24"/>
          <w:szCs w:val="24"/>
        </w:rPr>
        <w:t>Bacterial Abundance and Chlorophyll-a</w:t>
      </w:r>
      <w:bookmarkEnd w:id="68"/>
      <w:bookmarkEnd w:id="69"/>
    </w:p>
    <w:p w14:paraId="538C1070" w14:textId="42921203" w:rsidR="0013065B" w:rsidRPr="00680163" w:rsidRDefault="00446AAF" w:rsidP="00EA6829">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Sampling time has 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r w:rsidR="00EA6829">
        <w:rPr>
          <w:rFonts w:ascii="Calibri" w:hAnsi="Calibri" w:cs="Calibri"/>
          <w:color w:val="000000" w:themeColor="text1"/>
        </w:rPr>
        <w:t xml:space="preserve"> (</w:t>
      </w:r>
      <w:r w:rsidR="00EA6829" w:rsidRPr="00AC57EB">
        <w:rPr>
          <w:rFonts w:ascii="Calibri" w:hAnsi="Calibri" w:cs="Calibri"/>
          <w:color w:val="000000" w:themeColor="text1"/>
          <w:highlight w:val="yellow"/>
        </w:rPr>
        <w:t>Supplemental table XXX</w:t>
      </w:r>
      <w:r w:rsidR="00EA6829">
        <w:rPr>
          <w:rFonts w:ascii="Calibri" w:hAnsi="Calibri" w:cs="Calibri"/>
          <w:color w:val="000000" w:themeColor="text1"/>
        </w:rPr>
        <w:t>)</w:t>
      </w:r>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and pico-eukaryotes between 12:00 and 06:00 (p &lt; 0.01), while chlorophyll-a decreased significantly between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70"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70"/>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71" w:name="_Toc232771528"/>
      <w:bookmarkStart w:id="72"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71"/>
      <w:bookmarkEnd w:id="72"/>
    </w:p>
    <w:p w14:paraId="0937E6D8" w14:textId="0825087D"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r w:rsidR="004035A5">
        <w:rPr>
          <w:rFonts w:ascii="Calibri" w:hAnsi="Calibri" w:cs="Calibri"/>
          <w:color w:val="000000" w:themeColor="text1"/>
        </w:rPr>
        <w:t xml:space="preserve"> </w:t>
      </w:r>
      <w:r w:rsidRPr="00F0557B">
        <w:rPr>
          <w:rFonts w:ascii="Calibri" w:hAnsi="Calibri" w:cs="Calibri"/>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73"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73"/>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28F612EA" w:rsidR="0013065B" w:rsidRPr="005C0BB0" w:rsidRDefault="00F07DCF" w:rsidP="00D60AC0">
      <w:pPr>
        <w:pStyle w:val="Lgende"/>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60A58178"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 xml:space="preserve">(F= </w:t>
      </w:r>
      <w:r w:rsidR="00A84398" w:rsidRPr="00F3107C">
        <w:rPr>
          <w:rFonts w:ascii="Calibri" w:hAnsi="Calibri" w:cs="Calibri"/>
        </w:rPr>
        <w:t>5.</w:t>
      </w:r>
      <w:r w:rsidR="00680163">
        <w:rPr>
          <w:rFonts w:ascii="Calibri" w:hAnsi="Calibri" w:cs="Calibri"/>
        </w:rPr>
        <w:t>32</w:t>
      </w:r>
      <w:r w:rsidR="00FB25FB" w:rsidRPr="00F3107C">
        <w:rPr>
          <w:rFonts w:ascii="Calibri" w:hAnsi="Calibri" w:cs="Calibri"/>
        </w:rPr>
        <w:t>, p=0.0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680163">
        <w:rPr>
          <w:rFonts w:ascii="Calibri" w:hAnsi="Calibri" w:cs="Calibri"/>
        </w:rPr>
        <w:t xml:space="preserve"> (module A: F= 3.23, p = 0.06; module C: F = 0.46, p = 0.71)</w:t>
      </w:r>
      <w:r w:rsidR="00FB25FB" w:rsidRPr="00F3107C">
        <w:rPr>
          <w:rFonts w:ascii="Calibri" w:hAnsi="Calibri" w:cs="Calibri"/>
        </w:rPr>
        <w:t>.</w:t>
      </w:r>
      <w:r w:rsidR="00680163">
        <w:rPr>
          <w:rFonts w:ascii="Calibri" w:hAnsi="Calibri" w:cs="Calibri"/>
        </w:rPr>
        <w:t xml:space="preserve"> Models showed significant time effects in Module A </w:t>
      </w:r>
      <w:r w:rsidR="00680163" w:rsidRPr="00F3107C">
        <w:rPr>
          <w:rFonts w:ascii="Calibri" w:hAnsi="Calibri" w:cs="Calibri"/>
        </w:rPr>
        <w:t>(F=</w:t>
      </w:r>
      <w:r w:rsidR="00680163">
        <w:rPr>
          <w:rFonts w:ascii="Calibri" w:hAnsi="Calibri" w:cs="Calibri"/>
        </w:rPr>
        <w:t>578.6</w:t>
      </w:r>
      <w:r w:rsidR="00680163" w:rsidRPr="00F3107C">
        <w:rPr>
          <w:rFonts w:ascii="Calibri" w:hAnsi="Calibri" w:cs="Calibri"/>
        </w:rPr>
        <w:t>, p&lt;0.05)</w:t>
      </w:r>
      <w:r w:rsidR="00680163">
        <w:rPr>
          <w:rFonts w:ascii="Calibri" w:hAnsi="Calibri" w:cs="Calibri"/>
        </w:rPr>
        <w:t xml:space="preserve">, B </w:t>
      </w:r>
      <w:r w:rsidR="00680163" w:rsidRPr="00F3107C">
        <w:rPr>
          <w:rFonts w:ascii="Calibri" w:hAnsi="Calibri" w:cs="Calibri"/>
        </w:rPr>
        <w:t xml:space="preserve">(F= </w:t>
      </w:r>
      <w:r w:rsidR="00680163">
        <w:rPr>
          <w:rFonts w:ascii="Calibri" w:hAnsi="Calibri" w:cs="Calibri"/>
        </w:rPr>
        <w:t>604.3</w:t>
      </w:r>
      <w:r w:rsidR="00680163" w:rsidRPr="00F3107C">
        <w:rPr>
          <w:rFonts w:ascii="Calibri" w:hAnsi="Calibri" w:cs="Calibri"/>
        </w:rPr>
        <w:t>, p&lt;0.05)</w:t>
      </w:r>
      <w:r w:rsidR="00680163">
        <w:rPr>
          <w:rFonts w:ascii="Calibri" w:hAnsi="Calibri" w:cs="Calibri"/>
        </w:rPr>
        <w:t xml:space="preserve">,  and C </w:t>
      </w:r>
      <w:r w:rsidR="00680163" w:rsidRPr="00F3107C">
        <w:rPr>
          <w:rFonts w:ascii="Calibri" w:hAnsi="Calibri" w:cs="Calibri"/>
        </w:rPr>
        <w:t>(F=</w:t>
      </w:r>
      <w:r w:rsidR="00680163">
        <w:rPr>
          <w:rFonts w:ascii="Calibri" w:hAnsi="Calibri" w:cs="Calibri"/>
        </w:rPr>
        <w:t>29.9</w:t>
      </w:r>
      <w:r w:rsidR="00680163" w:rsidRPr="00F3107C">
        <w:rPr>
          <w:rFonts w:ascii="Calibri" w:hAnsi="Calibri" w:cs="Calibri"/>
        </w:rPr>
        <w:t>, p&lt;0.05)</w:t>
      </w:r>
      <w:r w:rsidR="00680163">
        <w:rPr>
          <w:rFonts w:ascii="Calibri" w:hAnsi="Calibri" w:cs="Calibri"/>
        </w:rPr>
        <w:t xml:space="preserve">, as well as flow rate effect (module A: </w:t>
      </w:r>
      <w:r w:rsidR="00680163" w:rsidRPr="00F3107C">
        <w:rPr>
          <w:rFonts w:ascii="Calibri" w:hAnsi="Calibri" w:cs="Calibri"/>
        </w:rPr>
        <w:t>F=</w:t>
      </w:r>
      <w:r w:rsidR="00680163">
        <w:rPr>
          <w:rFonts w:ascii="Calibri" w:hAnsi="Calibri" w:cs="Calibri"/>
        </w:rPr>
        <w:t>25.8</w:t>
      </w:r>
      <w:r w:rsidR="00680163" w:rsidRPr="00F3107C">
        <w:rPr>
          <w:rFonts w:ascii="Calibri" w:hAnsi="Calibri" w:cs="Calibri"/>
        </w:rPr>
        <w:t>, p&lt;0.05</w:t>
      </w:r>
      <w:r w:rsidR="00680163">
        <w:rPr>
          <w:rFonts w:ascii="Calibri" w:hAnsi="Calibri" w:cs="Calibri"/>
        </w:rPr>
        <w:t xml:space="preserve">; module B: </w:t>
      </w:r>
      <w:r w:rsidR="00680163" w:rsidRPr="00F3107C">
        <w:rPr>
          <w:rFonts w:ascii="Calibri" w:hAnsi="Calibri" w:cs="Calibri"/>
        </w:rPr>
        <w:t>F=</w:t>
      </w:r>
      <w:r w:rsidR="00680163">
        <w:rPr>
          <w:rFonts w:ascii="Calibri" w:hAnsi="Calibri" w:cs="Calibri"/>
        </w:rPr>
        <w:t>31.1</w:t>
      </w:r>
      <w:r w:rsidR="00680163" w:rsidRPr="00F3107C">
        <w:rPr>
          <w:rFonts w:ascii="Calibri" w:hAnsi="Calibri" w:cs="Calibri"/>
        </w:rPr>
        <w:t>, p&lt;0.05</w:t>
      </w:r>
      <w:r w:rsidR="00680163">
        <w:rPr>
          <w:rFonts w:ascii="Calibri" w:hAnsi="Calibri" w:cs="Calibri"/>
        </w:rPr>
        <w:t xml:space="preserve">; module C: F= 42.5, p&lt;0.05). All modules were associated with significant treatment:time interactions (module A= F127.1, p &lt;0.05; module B: F= 284.1, p &lt;0.05: module C: F= 39.1, p &lt;0.05). Additonally, </w:t>
      </w:r>
      <w:r w:rsidR="00FB25FB" w:rsidRPr="00F3107C">
        <w:rPr>
          <w:rFonts w:ascii="Calibri" w:hAnsi="Calibri" w:cs="Calibri"/>
        </w:rPr>
        <w:t>Dunett’s post-hoc contrasts indicated</w:t>
      </w:r>
      <w:r w:rsidR="00680163">
        <w:rPr>
          <w:rFonts w:ascii="Calibri" w:hAnsi="Calibri" w:cs="Calibri"/>
        </w:rPr>
        <w:t xml:space="preserve"> a </w:t>
      </w:r>
      <w:r w:rsidR="00A84398" w:rsidRPr="00F3107C">
        <w:rPr>
          <w:rFonts w:ascii="Calibri" w:hAnsi="Calibri" w:cs="Calibri"/>
        </w:rPr>
        <w:t xml:space="preserve">significant </w:t>
      </w:r>
      <w:r w:rsidR="00680163">
        <w:rPr>
          <w:rFonts w:ascii="Calibri" w:hAnsi="Calibri" w:cs="Calibri"/>
        </w:rPr>
        <w:t>enrichment of taxa in module B</w:t>
      </w:r>
      <w:r w:rsidR="00FB25FB" w:rsidRPr="00F3107C">
        <w:rPr>
          <w:rFonts w:ascii="Calibri" w:hAnsi="Calibri" w:cs="Calibri"/>
        </w:rPr>
        <w:t xml:space="preserve"> </w:t>
      </w:r>
      <w:r w:rsidR="00680163">
        <w:rPr>
          <w:rFonts w:ascii="Calibri" w:hAnsi="Calibri" w:cs="Calibri"/>
        </w:rPr>
        <w:t xml:space="preserve">between algae-enriched treatments and </w:t>
      </w:r>
      <w:r w:rsidR="00FB25FB" w:rsidRPr="00F3107C">
        <w:rPr>
          <w:rFonts w:ascii="Calibri" w:hAnsi="Calibri" w:cs="Calibri"/>
        </w:rPr>
        <w:t xml:space="preserve">the </w:t>
      </w:r>
      <w:r w:rsidR="00680163">
        <w:rPr>
          <w:rFonts w:ascii="Calibri" w:hAnsi="Calibri" w:cs="Calibri"/>
        </w:rPr>
        <w:t xml:space="preserve">seawater </w:t>
      </w:r>
      <w:r w:rsidR="00FB25FB" w:rsidRPr="00F3107C">
        <w:rPr>
          <w:rFonts w:ascii="Calibri" w:hAnsi="Calibri" w:cs="Calibri"/>
        </w:rPr>
        <w:t>control</w:t>
      </w:r>
      <w:r w:rsidR="00A84398" w:rsidRPr="00F3107C">
        <w:rPr>
          <w:rFonts w:ascii="Calibri" w:hAnsi="Calibri" w:cs="Calibri"/>
        </w:rPr>
        <w:t xml:space="preserve"> (p</w:t>
      </w:r>
      <w:r w:rsidR="00680163">
        <w:rPr>
          <w:rFonts w:ascii="Calibri" w:hAnsi="Calibri" w:cs="Calibri"/>
        </w:rPr>
        <w:t>=0.03</w:t>
      </w:r>
      <w:r w:rsidR="00A84398" w:rsidRPr="00F3107C">
        <w:rPr>
          <w:rFonts w:ascii="Calibri" w:hAnsi="Calibri" w:cs="Calibri"/>
        </w:rPr>
        <w:t>)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0AE730BB">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74" w:name="_Ref234333046"/>
      <w:bookmarkStart w:id="75" w:name="_Ref236690511"/>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74"/>
      <w:r w:rsidRPr="00D60AC0">
        <w:rPr>
          <w:rFonts w:ascii="Calibri" w:hAnsi="Calibri" w:cs="Calibri"/>
          <w:b/>
          <w:bCs/>
          <w:color w:val="000000" w:themeColor="text1"/>
          <w:sz w:val="24"/>
          <w:szCs w:val="24"/>
        </w:rPr>
        <w:t>: Heatmap showing significant differences in bacterial families across treatment.</w:t>
      </w:r>
      <w:bookmarkEnd w:id="75"/>
      <w:r w:rsidRPr="00D60AC0">
        <w:rPr>
          <w:rFonts w:ascii="Calibri" w:hAnsi="Calibri" w:cs="Calibri"/>
          <w:b/>
          <w:bCs/>
          <w:color w:val="000000" w:themeColor="text1"/>
          <w:sz w:val="24"/>
          <w:szCs w:val="24"/>
        </w:rPr>
        <w:t xml:space="preserve"> </w:t>
      </w:r>
    </w:p>
    <w:p w14:paraId="72B47537" w14:textId="2D2EA725" w:rsidR="00AC57EB" w:rsidRPr="00AC57EB" w:rsidRDefault="00AC57EB" w:rsidP="00AC57EB">
      <w:pPr>
        <w:jc w:val="center"/>
      </w:pPr>
      <w:r>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Lgende"/>
        <w:jc w:val="center"/>
        <w:rPr>
          <w:rFonts w:ascii="Calibri" w:hAnsi="Calibri" w:cs="Calibri"/>
          <w:b/>
          <w:bCs/>
          <w:sz w:val="24"/>
          <w:szCs w:val="24"/>
        </w:rPr>
      </w:pPr>
      <w:bookmarkStart w:id="76"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76"/>
      <w:r w:rsidRPr="00B60634">
        <w:rPr>
          <w:rFonts w:ascii="Calibri" w:hAnsi="Calibri" w:cs="Calibri"/>
          <w:b/>
          <w:bCs/>
          <w:sz w:val="24"/>
          <w:szCs w:val="24"/>
        </w:rPr>
        <w:t>: Modules</w:t>
      </w:r>
    </w:p>
    <w:p w14:paraId="2CC22D95" w14:textId="20CBF319" w:rsidR="00AC57EB" w:rsidRPr="00AC57EB" w:rsidRDefault="00AC57EB" w:rsidP="00AC57EB">
      <w:pPr>
        <w:jc w:val="center"/>
      </w:pPr>
      <w: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Default="00B60634" w:rsidP="00D60AC0"/>
    <w:p w14:paraId="2691B175" w14:textId="03F6C7F7" w:rsidR="0043448B" w:rsidRPr="003040B6" w:rsidRDefault="00B60634" w:rsidP="00D60AC0">
      <w:pPr>
        <w:rPr>
          <w:rFonts w:ascii="Calibri" w:hAnsi="Calibri" w:cs="Calibri"/>
        </w:rPr>
      </w:pPr>
      <w:r>
        <w:tab/>
      </w:r>
      <w:commentRangeStart w:id="77"/>
      <w:r w:rsidRPr="003040B6">
        <w:rPr>
          <w:rFonts w:ascii="Calibri" w:hAnsi="Calibri" w:cs="Calibri"/>
        </w:rPr>
        <w:t xml:space="preserve">The </w:t>
      </w:r>
      <w:commentRangeEnd w:id="77"/>
      <w:r w:rsidR="003040B6" w:rsidRPr="003040B6">
        <w:rPr>
          <w:rStyle w:val="Marquedecommentaire"/>
          <w:rFonts w:ascii="Calibri" w:hAnsi="Calibri" w:cs="Calibri"/>
          <w:sz w:val="24"/>
          <w:szCs w:val="24"/>
        </w:rPr>
        <w:commentReference w:id="77"/>
      </w:r>
      <w:r w:rsidRPr="003040B6">
        <w:rPr>
          <w:rFonts w:ascii="Calibri" w:hAnsi="Calibri" w:cs="Calibri"/>
        </w:rPr>
        <w:t>relative abundance of bacterial genera were relativized to the</w:t>
      </w:r>
      <w:r w:rsidR="00453D29" w:rsidRPr="003040B6">
        <w:rPr>
          <w:rFonts w:ascii="Calibri" w:hAnsi="Calibri" w:cs="Calibri"/>
        </w:rPr>
        <w:t xml:space="preserve"> average</w:t>
      </w:r>
      <w:r w:rsidRPr="003040B6">
        <w:rPr>
          <w:rFonts w:ascii="Calibri" w:hAnsi="Calibri" w:cs="Calibri"/>
        </w:rPr>
        <w:t xml:space="preserve"> inflow value at each time point to model enrichment and depletion patterns in each treatment</w:t>
      </w:r>
      <w:r w:rsidR="00453D29" w:rsidRPr="003040B6">
        <w:rPr>
          <w:rFonts w:ascii="Calibri" w:hAnsi="Calibri" w:cs="Calibri"/>
        </w:rPr>
        <w:t xml:space="preserv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bacterial genera showed significant ANOVA (p</w:t>
      </w:r>
      <w:r w:rsidR="00453D29" w:rsidRPr="003040B6">
        <w:rPr>
          <w:rFonts w:ascii="Calibri" w:hAnsi="Calibri" w:cs="Calibri"/>
          <w:vertAlign w:val="subscript"/>
        </w:rPr>
        <w:t>treatment</w:t>
      </w:r>
      <w:r w:rsidR="00453D29" w:rsidRPr="003040B6">
        <w:rPr>
          <w:rFonts w:ascii="Calibri" w:hAnsi="Calibri" w:cs="Calibri"/>
        </w:rPr>
        <w:t xml:space="preserve"> &lt;0.05). Among those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genera, </w:t>
      </w:r>
      <w:r w:rsidR="00680163" w:rsidRPr="003040B6">
        <w:rPr>
          <w:rFonts w:ascii="Calibri" w:hAnsi="Calibri" w:cs="Calibri"/>
        </w:rPr>
        <w:t>1</w:t>
      </w:r>
      <w:r w:rsidR="00200FAC" w:rsidRPr="003040B6">
        <w:rPr>
          <w:rFonts w:ascii="Calibri" w:hAnsi="Calibri" w:cs="Calibri"/>
        </w:rPr>
        <w:t>5</w:t>
      </w:r>
      <w:r w:rsidR="00453D29" w:rsidRPr="003040B6">
        <w:rPr>
          <w:rFonts w:ascii="Calibri" w:hAnsi="Calibri" w:cs="Calibri"/>
        </w:rPr>
        <w:t xml:space="preserve"> genera exhibited significant Dunett’s post-hoc contrasts between control and treatments</w:t>
      </w:r>
      <w:r w:rsidR="00680163" w:rsidRPr="003040B6">
        <w:rPr>
          <w:rFonts w:ascii="Calibri" w:hAnsi="Calibri" w:cs="Calibri"/>
        </w:rPr>
        <w:t xml:space="preserve">, specifically in algae-enriched treatments. As a result, algae treatment were associated with the  significant enrichment of  </w:t>
      </w:r>
      <w:r w:rsidR="00200FAC" w:rsidRPr="003040B6">
        <w:rPr>
          <w:rFonts w:ascii="Calibri" w:hAnsi="Calibri" w:cs="Calibri"/>
        </w:rPr>
        <w:t>6</w:t>
      </w:r>
      <w:r w:rsidR="00680163" w:rsidRPr="003040B6">
        <w:rPr>
          <w:rFonts w:ascii="Calibri" w:hAnsi="Calibri" w:cs="Calibri"/>
        </w:rPr>
        <w:t xml:space="preserve"> genera and the depletion of </w:t>
      </w:r>
      <w:r w:rsidR="00200FAC" w:rsidRPr="003040B6">
        <w:rPr>
          <w:rFonts w:ascii="Calibri" w:hAnsi="Calibri" w:cs="Calibri"/>
        </w:rPr>
        <w:t>9</w:t>
      </w:r>
      <w:r w:rsidR="00680163" w:rsidRPr="003040B6">
        <w:rPr>
          <w:rFonts w:ascii="Calibri" w:hAnsi="Calibri" w:cs="Calibri"/>
        </w:rPr>
        <w:t xml:space="preserve"> genera</w:t>
      </w:r>
      <w:r w:rsidR="00F3107C" w:rsidRPr="003040B6">
        <w:rPr>
          <w:rFonts w:ascii="Calibri" w:hAnsi="Calibri" w:cs="Calibri"/>
        </w:rPr>
        <w:t xml:space="preserve"> </w:t>
      </w:r>
      <w:r w:rsidR="00453D29" w:rsidRPr="003040B6">
        <w:rPr>
          <w:rFonts w:ascii="Calibri" w:hAnsi="Calibri" w:cs="Calibri"/>
        </w:rPr>
        <w:t xml:space="preserve">(p&lt;0.05). </w:t>
      </w:r>
      <w:r w:rsidR="00200FAC" w:rsidRPr="003040B6">
        <w:rPr>
          <w:rFonts w:ascii="Calibri" w:hAnsi="Calibri" w:cs="Calibri"/>
          <w:color w:val="222222"/>
          <w:shd w:val="clear" w:color="auto" w:fill="FFFFFF"/>
        </w:rPr>
        <w:t xml:space="preserve">Specifically, within </w:t>
      </w:r>
      <w:r w:rsidR="00380F8C" w:rsidRPr="003040B6">
        <w:rPr>
          <w:rFonts w:ascii="Calibri" w:hAnsi="Calibri" w:cs="Calibri"/>
          <w:color w:val="222222"/>
          <w:shd w:val="clear" w:color="auto" w:fill="FFFFFF"/>
        </w:rPr>
        <w:t>Module A</w:t>
      </w:r>
      <w:r w:rsidR="00200FAC" w:rsidRPr="003040B6">
        <w:rPr>
          <w:rFonts w:ascii="Calibri" w:hAnsi="Calibri" w:cs="Calibri"/>
          <w:color w:val="222222"/>
          <w:shd w:val="clear" w:color="auto" w:fill="FFFFFF"/>
        </w:rPr>
        <w:t>, the</w:t>
      </w:r>
      <w:r w:rsidR="00380F8C" w:rsidRPr="003040B6">
        <w:rPr>
          <w:rFonts w:ascii="Calibri" w:hAnsi="Calibri" w:cs="Calibri"/>
          <w:color w:val="222222"/>
          <w:shd w:val="clear" w:color="auto" w:fill="FFFFFF"/>
        </w:rPr>
        <w:t xml:space="preserve"> </w:t>
      </w:r>
      <w:r w:rsidR="00200FAC" w:rsidRPr="003040B6">
        <w:rPr>
          <w:rFonts w:ascii="Calibri" w:hAnsi="Calibri" w:cs="Calibri"/>
          <w:color w:val="222222"/>
          <w:shd w:val="clear" w:color="auto" w:fill="FFFFFF"/>
        </w:rPr>
        <w:t xml:space="preserve">most abundant taxa </w:t>
      </w:r>
      <w:r w:rsidR="00380F8C" w:rsidRPr="003040B6">
        <w:rPr>
          <w:rFonts w:ascii="Calibri" w:hAnsi="Calibri" w:cs="Calibri"/>
          <w:color w:val="222222"/>
          <w:shd w:val="clear" w:color="auto" w:fill="FFFFFF"/>
        </w:rPr>
        <w:t xml:space="preserve">were </w:t>
      </w:r>
      <w:r w:rsidR="00571577" w:rsidRPr="003040B6">
        <w:rPr>
          <w:rFonts w:ascii="Calibri" w:hAnsi="Calibri" w:cs="Calibri"/>
          <w:i/>
          <w:iCs/>
          <w:color w:val="222222"/>
          <w:shd w:val="clear" w:color="auto" w:fill="FFFFFF"/>
        </w:rPr>
        <w:t>Synechococcus</w:t>
      </w:r>
      <w:r w:rsidR="00571577" w:rsidRPr="003040B6">
        <w:rPr>
          <w:rFonts w:ascii="Calibri" w:hAnsi="Calibri" w:cs="Calibri"/>
          <w:color w:val="222222"/>
          <w:shd w:val="clear" w:color="auto" w:fill="FFFFFF"/>
        </w:rPr>
        <w:t xml:space="preserve"> (mean 15.1%), </w:t>
      </w:r>
      <w:r w:rsidR="00380F8C" w:rsidRPr="003040B6">
        <w:rPr>
          <w:rFonts w:ascii="Calibri" w:hAnsi="Calibri" w:cs="Calibri"/>
          <w:color w:val="222222"/>
          <w:shd w:val="clear" w:color="auto" w:fill="FFFFFF"/>
        </w:rPr>
        <w:t xml:space="preserve">SAR11 </w:t>
      </w:r>
      <w:r w:rsidR="00227E96" w:rsidRPr="003040B6">
        <w:rPr>
          <w:rFonts w:ascii="Calibri" w:hAnsi="Calibri" w:cs="Calibri"/>
          <w:color w:val="222222"/>
          <w:shd w:val="clear" w:color="auto" w:fill="FFFFFF"/>
        </w:rPr>
        <w:t>C</w:t>
      </w:r>
      <w:r w:rsidR="00380F8C" w:rsidRPr="003040B6">
        <w:rPr>
          <w:rFonts w:ascii="Calibri" w:hAnsi="Calibri" w:cs="Calibri"/>
          <w:color w:val="222222"/>
          <w:shd w:val="clear" w:color="auto" w:fill="FFFFFF"/>
        </w:rPr>
        <w:t xml:space="preserve">lade </w:t>
      </w:r>
      <w:r w:rsidR="00227E96" w:rsidRPr="003040B6">
        <w:rPr>
          <w:rFonts w:ascii="Calibri" w:hAnsi="Calibri" w:cs="Calibri"/>
          <w:color w:val="222222"/>
          <w:shd w:val="clear" w:color="auto" w:fill="FFFFFF"/>
        </w:rPr>
        <w:t>I</w:t>
      </w:r>
      <w:r w:rsidR="00380F8C" w:rsidRPr="003040B6">
        <w:rPr>
          <w:rFonts w:ascii="Calibri" w:hAnsi="Calibri" w:cs="Calibri"/>
          <w:color w:val="222222"/>
          <w:shd w:val="clear" w:color="auto" w:fill="FFFFFF"/>
        </w:rPr>
        <w:t xml:space="preserve">a (mean </w:t>
      </w:r>
      <w:r w:rsidR="00571577" w:rsidRPr="003040B6">
        <w:rPr>
          <w:rFonts w:ascii="Calibri" w:hAnsi="Calibri" w:cs="Calibri"/>
          <w:color w:val="222222"/>
          <w:shd w:val="clear" w:color="auto" w:fill="FFFFFF"/>
        </w:rPr>
        <w:t>2.3</w:t>
      </w:r>
      <w:r w:rsidR="00380F8C" w:rsidRPr="003040B6">
        <w:rPr>
          <w:rFonts w:ascii="Calibri" w:hAnsi="Calibri" w:cs="Calibri"/>
          <w:color w:val="222222"/>
          <w:shd w:val="clear" w:color="auto" w:fill="FFFFFF"/>
        </w:rPr>
        <w:t xml:space="preserve">%), SAR86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and </w:t>
      </w:r>
      <w:r w:rsidR="00571577" w:rsidRPr="003040B6">
        <w:rPr>
          <w:rFonts w:ascii="Calibri" w:hAnsi="Calibri" w:cs="Calibri"/>
          <w:color w:val="222222"/>
          <w:shd w:val="clear" w:color="auto" w:fill="FFFFFF"/>
        </w:rPr>
        <w:t>Procholorococcus</w:t>
      </w:r>
      <w:r w:rsidR="00380F8C" w:rsidRPr="003040B6">
        <w:rPr>
          <w:rFonts w:ascii="Calibri" w:hAnsi="Calibri" w:cs="Calibri"/>
          <w:color w:val="222222"/>
          <w:shd w:val="clear" w:color="auto" w:fill="FFFFFF"/>
        </w:rPr>
        <w:t xml:space="preserve">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Of the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prevalent genera shown in module A, </w:t>
      </w:r>
      <w:r w:rsidR="00571577" w:rsidRPr="003040B6">
        <w:rPr>
          <w:rFonts w:ascii="Calibri" w:hAnsi="Calibri" w:cs="Calibri"/>
          <w:color w:val="222222"/>
          <w:shd w:val="clear" w:color="auto" w:fill="FFFFFF"/>
        </w:rPr>
        <w:t xml:space="preserve">six </w:t>
      </w:r>
      <w:r w:rsidR="00380F8C" w:rsidRPr="003040B6">
        <w:rPr>
          <w:rFonts w:ascii="Calibri" w:hAnsi="Calibri" w:cs="Calibri"/>
          <w:color w:val="222222"/>
          <w:shd w:val="clear" w:color="auto" w:fill="FFFFFF"/>
        </w:rPr>
        <w:t xml:space="preserve">were significantly depleted in the </w:t>
      </w:r>
      <w:r w:rsidR="00571577" w:rsidRPr="003040B6">
        <w:rPr>
          <w:rFonts w:ascii="Calibri" w:hAnsi="Calibri" w:cs="Calibri"/>
          <w:color w:val="222222"/>
          <w:shd w:val="clear" w:color="auto" w:fill="FFFFFF"/>
        </w:rPr>
        <w:t>a</w:t>
      </w:r>
      <w:r w:rsidR="00380F8C" w:rsidRPr="003040B6">
        <w:rPr>
          <w:rFonts w:ascii="Calibri" w:hAnsi="Calibri" w:cs="Calibri"/>
          <w:color w:val="222222"/>
          <w:shd w:val="clear" w:color="auto" w:fill="FFFFFF"/>
        </w:rPr>
        <w:t>lgae</w:t>
      </w:r>
      <w:r w:rsidR="00571577" w:rsidRPr="003040B6">
        <w:rPr>
          <w:rFonts w:ascii="Calibri" w:hAnsi="Calibri" w:cs="Calibri"/>
          <w:color w:val="222222"/>
          <w:shd w:val="clear" w:color="auto" w:fill="FFFFFF"/>
        </w:rPr>
        <w:t>-treatment</w:t>
      </w:r>
      <w:r w:rsidR="00380F8C" w:rsidRPr="003040B6">
        <w:rPr>
          <w:rFonts w:ascii="Calibri" w:hAnsi="Calibri" w:cs="Calibri"/>
          <w:color w:val="222222"/>
          <w:shd w:val="clear" w:color="auto" w:fill="FFFFFF"/>
        </w:rPr>
        <w:t xml:space="preserve"> relative to the control (Supplementary</w:t>
      </w:r>
      <w:r w:rsidR="003040B6" w:rsidRPr="003040B6">
        <w:rPr>
          <w:rFonts w:ascii="Calibri" w:hAnsi="Calibri" w:cs="Calibri"/>
          <w:color w:val="222222"/>
          <w:shd w:val="clear" w:color="auto" w:fill="FFFFFF"/>
        </w:rPr>
        <w:t xml:space="preserve"> </w:t>
      </w:r>
      <w:r w:rsidR="003040B6" w:rsidRPr="003040B6">
        <w:rPr>
          <w:rFonts w:ascii="Calibri" w:hAnsi="Calibri" w:cs="Calibri"/>
          <w:color w:val="222222"/>
          <w:shd w:val="clear" w:color="auto" w:fill="FFFFFF"/>
        </w:rPr>
        <w:fldChar w:fldCharType="begin"/>
      </w:r>
      <w:r w:rsidR="003040B6" w:rsidRPr="003040B6">
        <w:rPr>
          <w:rFonts w:ascii="Calibri" w:hAnsi="Calibri" w:cs="Calibri"/>
          <w:color w:val="222222"/>
          <w:shd w:val="clear" w:color="auto" w:fill="FFFFFF"/>
        </w:rPr>
        <w:instrText xml:space="preserve"> REF _Ref236691132 \h </w:instrText>
      </w:r>
      <w:r w:rsidR="003040B6" w:rsidRPr="003040B6">
        <w:rPr>
          <w:rFonts w:ascii="Calibri" w:hAnsi="Calibri" w:cs="Calibri"/>
          <w:color w:val="222222"/>
          <w:shd w:val="clear" w:color="auto" w:fill="FFFFFF"/>
        </w:rPr>
      </w:r>
      <w:r w:rsidR="003040B6">
        <w:rPr>
          <w:rFonts w:ascii="Calibri" w:hAnsi="Calibri" w:cs="Calibri"/>
          <w:color w:val="222222"/>
          <w:shd w:val="clear" w:color="auto" w:fill="FFFFFF"/>
        </w:rPr>
        <w:instrText xml:space="preserve"> \* MERGEFORMAT </w:instrText>
      </w:r>
      <w:r w:rsidR="003040B6" w:rsidRPr="003040B6">
        <w:rPr>
          <w:rFonts w:ascii="Calibri" w:hAnsi="Calibri" w:cs="Calibri"/>
          <w:color w:val="222222"/>
          <w:shd w:val="clear" w:color="auto" w:fill="FFFFFF"/>
        </w:rPr>
        <w:fldChar w:fldCharType="separate"/>
      </w:r>
      <w:r w:rsidR="003040B6" w:rsidRPr="003040B6">
        <w:rPr>
          <w:rFonts w:ascii="Calibri" w:hAnsi="Calibri" w:cs="Calibri"/>
        </w:rPr>
        <w:t xml:space="preserve">Table </w:t>
      </w:r>
      <w:r w:rsidR="003040B6" w:rsidRPr="003040B6">
        <w:rPr>
          <w:rFonts w:ascii="Calibri" w:hAnsi="Calibri" w:cs="Calibri"/>
          <w:noProof/>
        </w:rPr>
        <w:t>7</w:t>
      </w:r>
      <w:r w:rsidR="003040B6"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These key taxa have experienced a decrease from the controls </w:t>
      </w:r>
      <w:r w:rsidR="000A157B" w:rsidRPr="003040B6">
        <w:rPr>
          <w:rFonts w:ascii="Calibri" w:hAnsi="Calibri" w:cs="Calibri"/>
          <w:color w:val="222222"/>
          <w:shd w:val="clear" w:color="auto" w:fill="FFFFFF"/>
        </w:rPr>
        <w:t>by the end of the 24h sampling</w:t>
      </w:r>
      <w:r w:rsidR="000A157B" w:rsidRPr="003040B6">
        <w:rPr>
          <w:rFonts w:ascii="Calibri" w:hAnsi="Calibri" w:cs="Calibri"/>
          <w:color w:val="222222"/>
          <w:shd w:val="clear" w:color="auto" w:fill="FFFFFF"/>
        </w:rPr>
        <w:t xml:space="preserve">:  </w:t>
      </w:r>
      <w:r w:rsidR="00380F8C" w:rsidRPr="003040B6">
        <w:rPr>
          <w:rFonts w:ascii="Calibri" w:hAnsi="Calibri" w:cs="Calibri"/>
          <w:color w:val="222222"/>
          <w:shd w:val="clear" w:color="auto" w:fill="FFFFFF"/>
        </w:rPr>
        <w:t>SAR116</w:t>
      </w:r>
      <w:r w:rsidR="000A157B"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1.9%</w:t>
      </w:r>
      <w:r w:rsidR="000A157B" w:rsidRPr="003040B6">
        <w:rPr>
          <w:rFonts w:ascii="Calibri" w:hAnsi="Calibri" w:cs="Calibri"/>
          <w:color w:val="222222"/>
          <w:shd w:val="clear" w:color="auto" w:fill="FFFFFF"/>
        </w:rPr>
        <w:t>)</w:t>
      </w:r>
      <w:r w:rsidR="00380F8C"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SAR406</w:t>
      </w:r>
      <w:r w:rsidR="000A157B"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0.57%</w:t>
      </w:r>
      <w:r w:rsidR="000A157B"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OM182</w:t>
      </w:r>
      <w:r w:rsidR="000A157B"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0.34%</w:t>
      </w:r>
      <w:r w:rsidR="000A157B"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OM60</w:t>
      </w:r>
      <w:r w:rsidR="000A157B"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1.4%</w:t>
      </w:r>
      <w:r w:rsidR="000A157B"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w:t>
      </w:r>
      <w:r w:rsidR="005E4574" w:rsidRPr="003040B6">
        <w:rPr>
          <w:rFonts w:ascii="Calibri" w:hAnsi="Calibri" w:cs="Calibri"/>
          <w:i/>
          <w:iCs/>
          <w:color w:val="222222"/>
          <w:shd w:val="clear" w:color="auto" w:fill="FFFFFF"/>
        </w:rPr>
        <w:t>Prochlorococcus</w:t>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1.9%</w:t>
      </w:r>
      <w:r w:rsidR="000A157B" w:rsidRPr="003040B6">
        <w:rPr>
          <w:rFonts w:ascii="Calibri" w:hAnsi="Calibri" w:cs="Calibri"/>
          <w:color w:val="222222"/>
          <w:shd w:val="clear" w:color="auto" w:fill="FFFFFF"/>
        </w:rPr>
        <w:t xml:space="preserve">), </w:t>
      </w:r>
      <w:r w:rsidR="00380F8C" w:rsidRPr="003040B6">
        <w:rPr>
          <w:rFonts w:ascii="Calibri" w:hAnsi="Calibri" w:cs="Calibri"/>
          <w:color w:val="222222"/>
          <w:shd w:val="clear" w:color="auto" w:fill="FFFFFF"/>
        </w:rPr>
        <w:t xml:space="preserve">and </w:t>
      </w:r>
      <w:r w:rsidR="0028661D" w:rsidRPr="003040B6">
        <w:rPr>
          <w:rFonts w:ascii="Calibri" w:hAnsi="Calibri" w:cs="Calibri"/>
          <w:color w:val="222222"/>
          <w:shd w:val="clear" w:color="auto" w:fill="FFFFFF"/>
        </w:rPr>
        <w:t>Marine Group II genus</w:t>
      </w:r>
      <w:r w:rsidR="000A157B"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4.5%</w:t>
      </w:r>
      <w:r w:rsidR="000A157B"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 xml:space="preserve"> </w:t>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fldChar w:fldCharType="begin"/>
      </w:r>
      <w:r w:rsidR="000A157B" w:rsidRPr="003040B6">
        <w:rPr>
          <w:rFonts w:ascii="Calibri" w:hAnsi="Calibri" w:cs="Calibri"/>
          <w:color w:val="222222"/>
          <w:shd w:val="clear" w:color="auto" w:fill="FFFFFF"/>
        </w:rPr>
        <w:instrText xml:space="preserve"> REF _Ref234333046 \h </w:instrText>
      </w:r>
      <w:r w:rsidR="000A157B" w:rsidRPr="003040B6">
        <w:rPr>
          <w:rFonts w:ascii="Calibri" w:hAnsi="Calibri" w:cs="Calibri"/>
          <w:color w:val="222222"/>
          <w:shd w:val="clear" w:color="auto" w:fill="FFFFFF"/>
        </w:rPr>
      </w:r>
      <w:r w:rsidR="003040B6">
        <w:rPr>
          <w:rFonts w:ascii="Calibri" w:hAnsi="Calibri" w:cs="Calibri"/>
          <w:color w:val="222222"/>
          <w:shd w:val="clear" w:color="auto" w:fill="FFFFFF"/>
        </w:rPr>
        <w:instrText xml:space="preserve"> \* MERGEFORMAT </w:instrText>
      </w:r>
      <w:r w:rsidR="000A157B" w:rsidRPr="003040B6">
        <w:rPr>
          <w:rFonts w:ascii="Calibri" w:hAnsi="Calibri" w:cs="Calibri"/>
          <w:color w:val="222222"/>
          <w:shd w:val="clear" w:color="auto" w:fill="FFFFFF"/>
        </w:rPr>
        <w:fldChar w:fldCharType="separate"/>
      </w:r>
      <w:r w:rsidR="000A157B" w:rsidRPr="003040B6">
        <w:rPr>
          <w:rFonts w:ascii="Calibri" w:hAnsi="Calibri" w:cs="Calibri"/>
          <w:b/>
          <w:bCs/>
          <w:color w:val="000000" w:themeColor="text1"/>
        </w:rPr>
        <w:t xml:space="preserve">Figure </w:t>
      </w:r>
      <w:r w:rsidR="000A157B" w:rsidRPr="003040B6">
        <w:rPr>
          <w:rFonts w:ascii="Calibri" w:hAnsi="Calibri" w:cs="Calibri"/>
          <w:b/>
          <w:bCs/>
          <w:noProof/>
          <w:color w:val="000000" w:themeColor="text1"/>
        </w:rPr>
        <w:t>6</w:t>
      </w:r>
      <w:r w:rsidR="000A157B"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w:t>
      </w:r>
      <w:r w:rsidR="00200FAC" w:rsidRPr="003040B6">
        <w:rPr>
          <w:rFonts w:ascii="Calibri" w:hAnsi="Calibri" w:cs="Calibri"/>
          <w:color w:val="222222"/>
          <w:shd w:val="clear" w:color="auto" w:fill="FFFFFF"/>
        </w:rPr>
        <w:t xml:space="preserve"> </w:t>
      </w:r>
      <w:r w:rsidR="00200FAC" w:rsidRPr="003040B6">
        <w:rPr>
          <w:rFonts w:ascii="Calibri" w:hAnsi="Calibri" w:cs="Calibri"/>
        </w:rPr>
        <w:t xml:space="preserve">Collectively, the results suggest that </w:t>
      </w:r>
      <w:r w:rsidR="00200FAC" w:rsidRPr="003040B6">
        <w:rPr>
          <w:rFonts w:ascii="Calibri" w:hAnsi="Calibri" w:cs="Calibri"/>
        </w:rPr>
        <w:lastRenderedPageBreak/>
        <w:t>bacterial community structure diverges from the controls when benthic communities are enriched in macroalgae.</w:t>
      </w:r>
    </w:p>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78" w:name="_Toc232771529"/>
      <w:bookmarkStart w:id="79" w:name="_Toc234162431"/>
      <w:r w:rsidRPr="00F0557B">
        <w:rPr>
          <w:rFonts w:ascii="Calibri" w:hAnsi="Calibri" w:cs="Calibri"/>
          <w:b/>
          <w:bCs/>
          <w:color w:val="000000" w:themeColor="text1"/>
        </w:rPr>
        <w:lastRenderedPageBreak/>
        <w:t>Discussion</w:t>
      </w:r>
      <w:bookmarkEnd w:id="78"/>
      <w:bookmarkEnd w:id="79"/>
    </w:p>
    <w:p w14:paraId="7607CA5D" w14:textId="2465F67B"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 xml:space="preserve">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80" w:name="_Toc232771530"/>
      <w:bookmarkStart w:id="81" w:name="_Toc234162432"/>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80"/>
      <w:bookmarkEnd w:id="81"/>
    </w:p>
    <w:p w14:paraId="01BB067B" w14:textId="5EC4C306" w:rsidR="0013065B" w:rsidRPr="00F0557B" w:rsidRDefault="00C12BAF" w:rsidP="00FA3C7C">
      <w:pPr>
        <w:spacing w:line="360" w:lineRule="auto"/>
        <w:ind w:firstLine="360"/>
        <w:rPr>
          <w:rFonts w:ascii="Calibri" w:hAnsi="Calibri" w:cs="Calibri"/>
          <w:color w:val="000000" w:themeColor="text1"/>
        </w:rPr>
      </w:pPr>
      <w:r>
        <w:rPr>
          <w:rFonts w:ascii="Calibri" w:hAnsi="Calibri" w:cs="Calibri"/>
          <w:color w:val="000000" w:themeColor="text1"/>
        </w:rPr>
        <w:t xml:space="preserve">When comparing the biogeochemical measurments, </w:t>
      </w:r>
      <w:r w:rsidRPr="00F0557B">
        <w:rPr>
          <w:rFonts w:ascii="Calibri" w:hAnsi="Calibri" w:cs="Calibri"/>
          <w:color w:val="000000" w:themeColor="text1"/>
        </w:rPr>
        <w:t>organic exudation or bacterial abundance</w:t>
      </w:r>
      <w:r>
        <w:rPr>
          <w:rFonts w:ascii="Calibri" w:hAnsi="Calibri" w:cs="Calibri"/>
          <w:color w:val="000000" w:themeColor="text1"/>
        </w:rPr>
        <w:t xml:space="preserv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C12BAF">
        <w:rPr>
          <w:rFonts w:ascii="Calibri" w:hAnsi="Calibri" w:cs="Calibri"/>
          <w:i/>
          <w:iCs/>
          <w:color w:val="000000" w:themeColor="text1"/>
        </w:rPr>
        <w:t>Synechococcus</w:t>
      </w:r>
      <w:r>
        <w:rPr>
          <w:rFonts w:ascii="Calibri" w:hAnsi="Calibri" w:cs="Calibri"/>
          <w:color w:val="000000" w:themeColor="text1"/>
        </w:rPr>
        <w:t xml:space="preserve"> was primarily driven by benthic assemblages rather than sampling time. In comparison, n</w:t>
      </w:r>
      <w:r w:rsidRPr="00F0557B">
        <w:rPr>
          <w:rFonts w:ascii="Calibri" w:hAnsi="Calibri" w:cs="Calibri"/>
          <w:color w:val="000000" w:themeColor="text1"/>
        </w:rPr>
        <w:t>utrient concentrations</w:t>
      </w:r>
      <w:r>
        <w:rPr>
          <w:rFonts w:ascii="Calibri" w:hAnsi="Calibri" w:cs="Calibri"/>
          <w:color w:val="000000" w:themeColor="text1"/>
        </w:rPr>
        <w:t xml:space="preserve"> experienced greater variations over a 24h diel cycle</w:t>
      </w:r>
      <w:r w:rsidRPr="00F0557B">
        <w:rPr>
          <w:rFonts w:ascii="Calibri" w:hAnsi="Calibri" w:cs="Calibri"/>
          <w:color w:val="000000" w:themeColor="text1"/>
        </w:rPr>
        <w:t xml:space="preserve">. </w:t>
      </w:r>
      <w:r w:rsidR="0013065B" w:rsidRPr="00F0557B">
        <w:rPr>
          <w:rFonts w:ascii="Calibri" w:hAnsi="Calibri" w:cs="Calibri"/>
          <w:color w:val="000000" w:themeColor="text1"/>
        </w:rPr>
        <w:t xml:space="preserve">Orthophosphate, nitrate, ammonia, and silica exhibited significant diel variations between 12:00 and 06:00 </w:t>
      </w:r>
      <w:r>
        <w:rPr>
          <w:rFonts w:ascii="Calibri" w:hAnsi="Calibri" w:cs="Calibri"/>
          <w:color w:val="000000" w:themeColor="text1"/>
        </w:rPr>
        <w:t>which can be attributed to</w:t>
      </w:r>
      <w:r w:rsidR="0013065B" w:rsidRPr="00F0557B">
        <w:rPr>
          <w:rFonts w:ascii="Calibri" w:hAnsi="Calibri" w:cs="Calibri"/>
          <w:color w:val="000000" w:themeColor="text1"/>
        </w:rPr>
        <w:t xml:space="preserve"> </w:t>
      </w:r>
      <w:r>
        <w:rPr>
          <w:rFonts w:ascii="Calibri" w:hAnsi="Calibri" w:cs="Calibri"/>
          <w:color w:val="000000" w:themeColor="text1"/>
        </w:rPr>
        <w:t xml:space="preserve">alternating </w:t>
      </w:r>
      <w:r w:rsidR="0013065B" w:rsidRPr="00F0557B">
        <w:rPr>
          <w:rFonts w:ascii="Calibri" w:hAnsi="Calibri" w:cs="Calibri"/>
          <w:color w:val="000000" w:themeColor="text1"/>
        </w:rPr>
        <w:t>photosynthetic activity during daylight and respiration at night.</w:t>
      </w:r>
      <w:r>
        <w:rPr>
          <w:rFonts w:ascii="Calibri" w:hAnsi="Calibri" w:cs="Calibri"/>
          <w:color w:val="000000" w:themeColor="text1"/>
        </w:rPr>
        <w:t xml:space="preserve"> As such, o</w:t>
      </w:r>
      <w:r w:rsidRPr="00F0557B">
        <w:rPr>
          <w:rFonts w:ascii="Calibri" w:hAnsi="Calibri" w:cs="Calibri"/>
          <w:color w:val="000000" w:themeColor="text1"/>
        </w:rPr>
        <w:t>bserved patterns in organic exudations and bacteria abundance can be primarily attributable to changes in benthic community composition rather than diel dynamics.</w:t>
      </w:r>
      <w:r>
        <w:rPr>
          <w:rFonts w:ascii="Calibri" w:hAnsi="Calibri" w:cs="Calibri"/>
          <w:color w:val="000000" w:themeColor="text1"/>
        </w:rPr>
        <w:t xml:space="preserve"> </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82" w:name="_Toc232771531"/>
      <w:bookmarkStart w:id="83" w:name="_Toc234162433"/>
      <w:r w:rsidRPr="00F0557B">
        <w:rPr>
          <w:rFonts w:ascii="Calibri" w:hAnsi="Calibri" w:cs="Calibri"/>
          <w:b/>
          <w:bCs/>
          <w:color w:val="000000" w:themeColor="text1"/>
          <w:sz w:val="24"/>
          <w:szCs w:val="24"/>
        </w:rPr>
        <w:t>Organic Exudation and Composition are Driven by Benthic Community Assemblages</w:t>
      </w:r>
      <w:bookmarkEnd w:id="82"/>
      <w:bookmarkEnd w:id="83"/>
    </w:p>
    <w:p w14:paraId="7042D0DF" w14:textId="1CB6C0E0"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Pr>
          <w:rFonts w:ascii="Calibri" w:hAnsi="Calibri" w:cs="Calibri"/>
          <w:color w:val="000000" w:themeColor="text1"/>
        </w:rPr>
        <w:t>did not show diel variation</w:t>
      </w:r>
      <w:r w:rsidRPr="00F0557B">
        <w:rPr>
          <w:rFonts w:ascii="Calibri" w:hAnsi="Calibri" w:cs="Calibri"/>
          <w:color w:val="000000" w:themeColor="text1"/>
        </w:rPr>
        <w:t xml:space="preserve">. Algae-enriched </w:t>
      </w:r>
      <w:r w:rsidRPr="00F0557B">
        <w:rPr>
          <w:rFonts w:ascii="Calibri" w:hAnsi="Calibri" w:cs="Calibri"/>
          <w:color w:val="000000" w:themeColor="text1"/>
        </w:rPr>
        <w:lastRenderedPageBreak/>
        <w:t xml:space="preserve">assemblages exhibited a preferential exudation of humic-like compounds which is consistent with organismal exudation results reported by </w:t>
      </w:r>
      <w:r w:rsidR="00514E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w:instrText>
      </w:r>
      <w:r w:rsidR="00D20A7D">
        <w:rPr>
          <w:rFonts w:ascii="Calibri" w:hAnsi="Calibri" w:cs="Calibri" w:hint="eastAsia"/>
          <w:color w:val="000000" w:themeColor="text1"/>
        </w:rPr>
        <w:instrText>n coral reefs. As reef benthic communities change, in part due to nutrient pollution, understanding impacts on reef microbial processes requires knowledge of DOM sources and composition.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w:instrText>
      </w:r>
      <w:r w:rsidR="00D20A7D">
        <w:rPr>
          <w:rFonts w:ascii="Calibri" w:hAnsi="Calibri" w:cs="Calibri"/>
          <w:color w:val="000000" w:themeColor="text1"/>
        </w:rPr>
        <w:instrText xml:space="preserve"> benthic constituents with three levels of nitrate and phosphate to contrast exudate composition and quantify the effects of nutrient enrichment on exudate release. Moderate nutrient enrichment enhanced bulk dissolved organic carbon exudation by all produ</w:instrText>
      </w:r>
      <w:r w:rsidR="00D20A7D">
        <w:rPr>
          <w:rFonts w:ascii="Calibri" w:hAnsi="Calibri" w:cs="Calibri" w:hint="eastAsia"/>
          <w:color w:val="000000" w:themeColor="text1"/>
        </w:rPr>
        <w:instrText>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w:instrText>
      </w:r>
      <w:r w:rsidR="00D20A7D">
        <w:rPr>
          <w:rFonts w:ascii="Calibri" w:hAnsi="Calibri" w:cs="Calibri"/>
          <w:color w:val="000000" w:themeColor="text1"/>
        </w:rPr>
        <w:instrText xml:space="preserve">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Pr>
          <w:rFonts w:ascii="Calibri" w:hAnsi="Calibri" w:cs="Calibri"/>
          <w:color w:val="000000" w:themeColor="text1"/>
        </w:rPr>
        <w:fldChar w:fldCharType="separate"/>
      </w:r>
      <w:r w:rsidR="00514EB7">
        <w:rPr>
          <w:rFonts w:ascii="Calibri" w:hAnsi="Calibri" w:cs="Calibri"/>
          <w:noProof/>
          <w:color w:val="000000" w:themeColor="text1"/>
        </w:rPr>
        <w:t>Quinlan et al.</w:t>
      </w:r>
      <w:r w:rsidR="00A71D9A">
        <w:rPr>
          <w:rFonts w:ascii="Calibri" w:hAnsi="Calibri" w:cs="Calibri"/>
          <w:noProof/>
          <w:color w:val="000000" w:themeColor="text1"/>
        </w:rPr>
        <w:t xml:space="preserve"> (</w:t>
      </w:r>
      <w:r w:rsidR="00514EB7">
        <w:rPr>
          <w:rFonts w:ascii="Calibri" w:hAnsi="Calibri" w:cs="Calibri"/>
          <w:noProof/>
          <w:color w:val="000000" w:themeColor="text1"/>
        </w:rPr>
        <w:t>2018)</w:t>
      </w:r>
      <w:r w:rsidR="00514EB7">
        <w:rPr>
          <w:rFonts w:ascii="Calibri" w:hAnsi="Calibri" w:cs="Calibri"/>
          <w:color w:val="000000" w:themeColor="text1"/>
        </w:rPr>
        <w:fldChar w:fldCharType="end"/>
      </w:r>
      <w:r w:rsidR="00514EB7">
        <w:rPr>
          <w:rFonts w:ascii="Calibri" w:hAnsi="Calibri" w:cs="Calibri"/>
          <w:color w:val="000000" w:themeColor="text1"/>
        </w:rPr>
        <w:t xml:space="preserve"> </w:t>
      </w:r>
      <w:r w:rsidRPr="00F0557B">
        <w:rPr>
          <w:rFonts w:ascii="Calibri" w:hAnsi="Calibri" w:cs="Calibri"/>
          <w:color w:val="000000" w:themeColor="text1"/>
        </w:rPr>
        <w:t>and</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A71D9A">
        <w:rPr>
          <w:rFonts w:ascii="Calibri" w:hAnsi="Calibri" w:cs="Calibri"/>
          <w:noProof/>
          <w:color w:val="000000" w:themeColor="text1"/>
        </w:rPr>
        <w:t>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w:instrText>
      </w:r>
      <w:r w:rsidR="00D20A7D">
        <w:rPr>
          <w:rFonts w:ascii="Calibri" w:hAnsi="Calibri" w:cs="Calibri" w:hint="eastAsia"/>
          <w:color w:val="000000" w:themeColor="text1"/>
        </w:rPr>
        <w:instrTex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w:instrText>
      </w:r>
      <w:r w:rsidR="00D20A7D">
        <w:rPr>
          <w:rFonts w:ascii="Calibri" w:hAnsi="Calibri" w:cs="Calibri"/>
          <w:color w:val="000000" w:themeColor="text1"/>
        </w:rPr>
        <w:instrText xml:space="preserve">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2025; Weber et al., 2022; 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(Barott et al., 2012; Morrow et al., 2012; Rasher &amp; Hay, 2010; Smith et al., 2006)</w:t>
      </w:r>
      <w:r w:rsidR="00A71D9A">
        <w:rPr>
          <w:rFonts w:ascii="Calibri" w:hAnsi="Calibri" w:cs="Calibri"/>
          <w:color w:val="000000" w:themeColor="text1"/>
        </w:rPr>
        <w:fldChar w:fldCharType="end"/>
      </w:r>
      <w:r w:rsidRPr="00F0557B">
        <w:rPr>
          <w:rFonts w:ascii="Calibri" w:hAnsi="Calibri" w:cs="Calibri"/>
          <w:color w:val="000000" w:themeColor="text1"/>
        </w:rPr>
        <w:t xml:space="preserve">. </w:t>
      </w:r>
    </w:p>
    <w:p w14:paraId="4E53E5EF" w14:textId="4C5B6113" w:rsidR="0013065B" w:rsidRPr="00F0557B" w:rsidRDefault="0013065B" w:rsidP="00A71D9A">
      <w:pPr>
        <w:spacing w:line="360" w:lineRule="auto"/>
        <w:ind w:firstLine="360"/>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Mueller et al., 2022; Palmer et al., 2025)</w:t>
      </w:r>
      <w:r w:rsidR="00A71D9A">
        <w:rPr>
          <w:rFonts w:ascii="Calibri" w:hAnsi="Calibri" w:cs="Calibri"/>
          <w:color w:val="000000" w:themeColor="text1"/>
        </w:rPr>
        <w:fldChar w:fldCharType="end"/>
      </w:r>
      <w:r w:rsidRPr="00F0557B">
        <w:rPr>
          <w:rFonts w:ascii="Calibri" w:hAnsi="Calibri" w:cs="Calibri"/>
          <w:color w:val="000000" w:themeColor="text1"/>
        </w:rPr>
        <w:t>. Still, because our community exudation results recapitulate and/or are consistent with more reductive single-organism exudation profiles conducted in this same ecosystem</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2013; Nelson et al., 2013; Wegley Kelly et al., 2021)</w:t>
      </w:r>
      <w:r w:rsidR="00BA033D">
        <w:rPr>
          <w:rFonts w:ascii="Calibri" w:hAnsi="Calibri" w:cs="Calibri"/>
          <w:color w:val="000000" w:themeColor="text1"/>
        </w:rPr>
        <w:fldChar w:fldCharType="end"/>
      </w:r>
      <w:r w:rsidR="00BA033D">
        <w:rPr>
          <w:rFonts w:ascii="Calibri" w:hAnsi="Calibri" w:cs="Calibri"/>
          <w:color w:val="000000" w:themeColor="text1"/>
        </w:rPr>
        <w:t xml:space="preserve">, </w:t>
      </w:r>
      <w:r w:rsidRPr="00F0557B">
        <w:rPr>
          <w:rFonts w:ascii="Calibri" w:hAnsi="Calibri" w:cs="Calibri"/>
          <w:color w:val="000000" w:themeColor="text1"/>
        </w:rPr>
        <w:t>this experiment reinforces interpretation of dissolved organic matter distribution patterns across these coral reefs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(John et al., 2025; Silbiger et al., 2025)</w:t>
      </w:r>
      <w:r w:rsidR="00BA033D">
        <w:rPr>
          <w:rFonts w:ascii="Calibri" w:hAnsi="Calibri" w:cs="Calibri"/>
          <w:color w:val="000000" w:themeColor="text1"/>
        </w:rPr>
        <w:fldChar w:fldCharType="end"/>
      </w:r>
      <w:r w:rsidRPr="00F0557B">
        <w:rPr>
          <w:rFonts w:ascii="Calibri" w:hAnsi="Calibri" w:cs="Calibri"/>
          <w:color w:val="000000" w:themeColor="text1"/>
        </w:rPr>
        <w:t xml:space="preserve">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84" w:name="_Toc232771532"/>
      <w:bookmarkStart w:id="85" w:name="_Toc234162434"/>
      <w:r w:rsidRPr="00F0557B">
        <w:rPr>
          <w:rFonts w:ascii="Calibri" w:hAnsi="Calibri" w:cs="Calibri"/>
          <w:b/>
          <w:bCs/>
          <w:color w:val="000000" w:themeColor="text1"/>
          <w:sz w:val="24"/>
          <w:szCs w:val="24"/>
        </w:rPr>
        <w:lastRenderedPageBreak/>
        <w:t>Composition of Organic Exudates Driven Microbial Community Structure</w:t>
      </w:r>
      <w:bookmarkEnd w:id="84"/>
      <w:bookmarkEnd w:id="85"/>
    </w:p>
    <w:p w14:paraId="62068BFA" w14:textId="7A973E16"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Algae-dominated reefs exhibited elevated heterotrophic bacteria abundance</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(Dinsdale et al., 2008; Haas et al., 2016)</w:t>
      </w:r>
      <w:r w:rsidR="00BA033D">
        <w:rPr>
          <w:rFonts w:ascii="Calibri" w:hAnsi="Calibri" w:cs="Calibri"/>
          <w:color w:val="000000" w:themeColor="text1"/>
        </w:rPr>
        <w:fldChar w:fldCharType="end"/>
      </w:r>
      <w:r w:rsidRPr="00F0557B">
        <w:rPr>
          <w:rFonts w:ascii="Calibri" w:hAnsi="Calibri" w:cs="Calibri"/>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fr-FR"/>
        </w:rPr>
        <w:t>(Nelson et al., 2013; Thobor et al., 2024)</w:t>
      </w:r>
      <w:r w:rsidR="00BA033D">
        <w:rPr>
          <w:rFonts w:ascii="Calibri" w:hAnsi="Calibri" w:cs="Calibri"/>
          <w:color w:val="000000" w:themeColor="text1"/>
        </w:rPr>
        <w:fldChar w:fldCharType="end"/>
      </w:r>
      <w:r w:rsidRPr="00F0557B">
        <w:rPr>
          <w:rFonts w:ascii="Calibri" w:hAnsi="Calibri" w:cs="Calibri"/>
          <w:color w:val="000000" w:themeColor="text1"/>
        </w:rPr>
        <w:t xml:space="preserve">, prenol lipids, benzenoids and heterocyclic compounds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w:instrText>
      </w:r>
      <w:r w:rsidR="00D20A7D">
        <w:rPr>
          <w:rFonts w:ascii="Calibri" w:hAnsi="Calibri" w:cs="Calibri" w:hint="eastAsia"/>
          <w:color w:val="000000" w:themeColor="text1"/>
        </w:rPr>
        <w:instrText>"given":"Daniel"},{"family":"Nothias","given":"Louis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I."},{"family":"Bailey","given":"Barbara A."},{"family":"Carlson","given"</w:instrText>
      </w:r>
      <w:r w:rsidR="00D20A7D">
        <w:rPr>
          <w:rFonts w:ascii="Calibri" w:hAnsi="Calibri" w:cs="Calibri"/>
          <w:color w:val="000000" w:themeColor="text1"/>
        </w:rPr>
        <w:instrText xml:space="preserve">:"Craig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(Quinlan et al., 2025; Wegley Kelly et al., 2021)</w:t>
      </w:r>
      <w:r w:rsidR="00220A48">
        <w:rPr>
          <w:rFonts w:ascii="Calibri" w:hAnsi="Calibri" w:cs="Calibri"/>
          <w:color w:val="000000" w:themeColor="text1"/>
        </w:rPr>
        <w:fldChar w:fldCharType="end"/>
      </w:r>
      <w:r w:rsidR="00220A48">
        <w:rPr>
          <w:rFonts w:ascii="Calibri" w:hAnsi="Calibri" w:cs="Calibri"/>
          <w:color w:val="000000" w:themeColor="text1"/>
        </w:rPr>
        <w:t xml:space="preserve">. </w:t>
      </w:r>
      <w:r w:rsidRPr="00F0557B">
        <w:rPr>
          <w:rFonts w:ascii="Calibri" w:hAnsi="Calibri" w:cs="Calibri"/>
          <w:color w:val="000000" w:themeColor="text1"/>
        </w:rPr>
        <w:t>Additionally, algal exudates have been associated with greater microbial metabolic activity (oxygen demand) but less eﬀicient growth rate (carbon yield)</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 Thobor et al., 2024)</w:t>
      </w:r>
      <w:r w:rsidR="00220A48">
        <w:rPr>
          <w:rFonts w:ascii="Calibri" w:hAnsi="Calibri" w:cs="Calibri"/>
          <w:color w:val="000000" w:themeColor="text1"/>
        </w:rPr>
        <w:fldChar w:fldCharType="end"/>
      </w:r>
      <w:r w:rsidRPr="00F0557B">
        <w:rPr>
          <w:rFonts w:ascii="Calibri" w:hAnsi="Calibri" w:cs="Calibri"/>
          <w:color w:val="000000" w:themeColor="text1"/>
        </w:rPr>
        <w:t>. Taken together these field observations and experimental results support the hypothesis of microbialization in degraded reef conditions</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2023; Silveira et al., 2017)</w:t>
      </w:r>
      <w:r w:rsidR="00220A48">
        <w:rPr>
          <w:rFonts w:ascii="Calibri" w:hAnsi="Calibri" w:cs="Calibri"/>
          <w:color w:val="000000" w:themeColor="text1"/>
        </w:rPr>
        <w:fldChar w:fldCharType="end"/>
      </w:r>
      <w:r w:rsidRPr="00F0557B">
        <w:rPr>
          <w:rFonts w:ascii="Calibri" w:hAnsi="Calibri" w:cs="Calibri"/>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w:t>
      </w:r>
      <w:r w:rsidRPr="003275B7">
        <w:rPr>
          <w:rFonts w:ascii="Calibri" w:hAnsi="Calibri" w:cs="Calibri"/>
          <w:color w:val="000000" w:themeColor="text1"/>
        </w:rPr>
        <w:t>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w:t>
      </w:r>
      <w:r w:rsidR="00220A48" w:rsidRPr="003275B7">
        <w:rPr>
          <w:rFonts w:ascii="Calibri" w:hAnsi="Calibri" w:cs="Calibri"/>
          <w:color w:val="000000" w:themeColor="text1"/>
        </w:rPr>
        <w:fldChar w:fldCharType="end"/>
      </w:r>
      <w:r w:rsidRPr="003275B7">
        <w:rPr>
          <w:rFonts w:ascii="Calibri" w:hAnsi="Calibri" w:cs="Calibri"/>
          <w:color w:val="000000" w:themeColor="text1"/>
        </w:rPr>
        <w:t xml:space="preserve">. Algae-enriched communities were depleted in oligotrophic </w:t>
      </w:r>
      <w:r w:rsidR="003275B7">
        <w:rPr>
          <w:rFonts w:ascii="Calibri" w:hAnsi="Calibri" w:cs="Calibri"/>
          <w:color w:val="000000" w:themeColor="text1"/>
        </w:rPr>
        <w:t>genera</w:t>
      </w:r>
      <w:r w:rsidRPr="003275B7">
        <w:rPr>
          <w:rFonts w:ascii="Calibri" w:hAnsi="Calibri" w:cs="Calibri"/>
          <w:color w:val="000000" w:themeColor="text1"/>
        </w:rPr>
        <w:t xml:space="preserve"> of bacteria, consistent with previous studies which showed an enrichment in copiotrophic bacterial taxa in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2016)</w:t>
      </w:r>
      <w:r w:rsidR="00220A48" w:rsidRPr="003275B7">
        <w:rPr>
          <w:rFonts w:ascii="Calibri" w:hAnsi="Calibri" w:cs="Calibri"/>
          <w:color w:val="000000" w:themeColor="text1"/>
        </w:rPr>
        <w:fldChar w:fldCharType="end"/>
      </w:r>
      <w:r w:rsidR="003275B7">
        <w:rPr>
          <w:rFonts w:ascii="Calibri" w:hAnsi="Calibri" w:cs="Calibri"/>
          <w:color w:val="000000" w:themeColor="text1"/>
        </w:rPr>
        <w:t>. In place of oligotrophic genera,</w:t>
      </w:r>
      <w:r w:rsidR="00ED1536">
        <w:rPr>
          <w:rFonts w:ascii="Calibri" w:hAnsi="Calibri" w:cs="Calibri"/>
          <w:color w:val="000000" w:themeColor="text1"/>
        </w:rPr>
        <w:t xml:space="preserve"> algal enrichment was associated with</w:t>
      </w:r>
      <w:r w:rsidR="003275B7">
        <w:rPr>
          <w:rFonts w:ascii="Calibri" w:hAnsi="Calibri" w:cs="Calibri"/>
          <w:color w:val="000000" w:themeColor="text1"/>
        </w:rPr>
        <w:t xml:space="preserve"> bacterial genera in the families</w:t>
      </w:r>
      <w:r w:rsidRPr="003275B7">
        <w:rPr>
          <w:rFonts w:ascii="Calibri" w:hAnsi="Calibri" w:cs="Calibri"/>
          <w:color w:val="000000" w:themeColor="text1"/>
        </w:rPr>
        <w:t xml:space="preserve"> Rhodobacteraceae </w:t>
      </w:r>
      <w:r w:rsidR="00ED1536">
        <w:rPr>
          <w:rFonts w:ascii="Calibri" w:hAnsi="Calibri" w:cs="Calibri"/>
          <w:color w:val="000000" w:themeColor="text1"/>
        </w:rPr>
        <w:t>which</w:t>
      </w:r>
      <w:r w:rsidR="003275B7">
        <w:rPr>
          <w:rFonts w:ascii="Calibri" w:hAnsi="Calibri" w:cs="Calibri"/>
          <w:color w:val="000000" w:themeColor="text1"/>
        </w:rPr>
        <w:t xml:space="preserve"> have been </w:t>
      </w:r>
      <w:r w:rsidRPr="003275B7">
        <w:rPr>
          <w:rFonts w:ascii="Calibri" w:hAnsi="Calibri" w:cs="Calibri"/>
          <w:color w:val="000000" w:themeColor="text1"/>
        </w:rPr>
        <w:t>widely reported enriched on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w:instrText>
      </w:r>
      <w:r w:rsidR="00D20A7D">
        <w:rPr>
          <w:rFonts w:ascii="Calibri" w:hAnsi="Calibri" w:cs="Calibri" w:hint="eastAsia"/>
          <w:color w:val="000000" w:themeColor="text1"/>
        </w:rPr>
        <w:instrText>e":"27","author":[{"family":"Quinlan","given":"Zachary A."},{"family":"Nelson","given":"Craig E."},{"family":"Koester","given":"Irina"},{"family":"Petras","given":"Daniel"},{"family":"Nothias","given":"Louis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w:instrText>
      </w:r>
      <w:r w:rsidR="00D20A7D">
        <w:rPr>
          <w:rFonts w:ascii="Calibri" w:hAnsi="Calibri" w:cs="Calibri"/>
          <w:color w:val="000000" w:themeColor="text1"/>
        </w:rPr>
        <w:instrText xml:space="preserve">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2013; Quinlan et al., 2025; Weber et al., 2022)</w:t>
      </w:r>
      <w:r w:rsidR="00220A48" w:rsidRPr="003275B7">
        <w:rPr>
          <w:rFonts w:ascii="Calibri" w:hAnsi="Calibri" w:cs="Calibri"/>
          <w:color w:val="000000" w:themeColor="text1"/>
        </w:rPr>
        <w:fldChar w:fldCharType="end"/>
      </w:r>
      <w:r w:rsidR="008C00BD">
        <w:rPr>
          <w:rFonts w:ascii="Calibri" w:hAnsi="Calibri" w:cs="Calibri"/>
          <w:color w:val="000000" w:themeColor="text1"/>
        </w:rPr>
        <w:t>,</w:t>
      </w:r>
      <w:r w:rsidR="00ED1536">
        <w:rPr>
          <w:rFonts w:ascii="Calibri" w:hAnsi="Calibri" w:cs="Calibri"/>
          <w:color w:val="000000" w:themeColor="text1"/>
        </w:rPr>
        <w:t xml:space="preserve"> and</w:t>
      </w:r>
      <w:r w:rsidR="008C00BD">
        <w:rPr>
          <w:rFonts w:ascii="Calibri" w:hAnsi="Calibri" w:cs="Calibri"/>
          <w:color w:val="000000" w:themeColor="text1"/>
        </w:rPr>
        <w:t xml:space="preserve"> </w:t>
      </w:r>
      <w:r w:rsidR="008C00BD">
        <w:rPr>
          <w:rFonts w:ascii="Calibri" w:hAnsi="Calibri" w:cs="Calibri"/>
          <w:color w:val="000000" w:themeColor="text1"/>
        </w:rPr>
        <w:t>Nitrincolaceae</w:t>
      </w:r>
      <w:r w:rsidR="00ED1536">
        <w:rPr>
          <w:rFonts w:ascii="Calibri" w:hAnsi="Calibri" w:cs="Calibri"/>
          <w:color w:val="000000" w:themeColor="text1"/>
        </w:rPr>
        <w:t xml:space="preserve"> and </w:t>
      </w:r>
      <w:r w:rsidR="008C00BD">
        <w:rPr>
          <w:rFonts w:ascii="Calibri" w:hAnsi="Calibri" w:cs="Calibri"/>
          <w:color w:val="000000" w:themeColor="text1"/>
        </w:rPr>
        <w:t xml:space="preserve">Cellvibrionadaceae </w:t>
      </w:r>
      <w:r w:rsidR="00ED1536">
        <w:rPr>
          <w:rFonts w:ascii="Calibri" w:hAnsi="Calibri" w:cs="Calibri"/>
          <w:color w:val="000000" w:themeColor="text1"/>
        </w:rPr>
        <w:t xml:space="preserve">which have been detected in coral microbiome </w:t>
      </w:r>
      <w:r w:rsidR="006B584E">
        <w:rPr>
          <w:rFonts w:ascii="Calibri" w:hAnsi="Calibri" w:cs="Calibri"/>
          <w:color w:val="000000" w:themeColor="text1"/>
        </w:rPr>
        <w:t>under</w:t>
      </w:r>
      <w:r w:rsidR="00ED1536">
        <w:rPr>
          <w:rFonts w:ascii="Calibri" w:hAnsi="Calibri" w:cs="Calibri"/>
          <w:color w:val="000000" w:themeColor="text1"/>
        </w:rPr>
        <w:t xml:space="preserve"> stress conditions such as hypoxia</w:t>
      </w:r>
      <w:r w:rsidR="00EF5C60">
        <w:rPr>
          <w:rFonts w:ascii="Calibri" w:hAnsi="Calibri" w:cs="Calibri"/>
          <w:color w:val="000000" w:themeColor="text1"/>
        </w:rPr>
        <w:t xml:space="preserve">, </w:t>
      </w:r>
      <w:r w:rsidR="00ED1536">
        <w:rPr>
          <w:rFonts w:ascii="Calibri" w:hAnsi="Calibri" w:cs="Calibri"/>
          <w:color w:val="000000" w:themeColor="text1"/>
        </w:rPr>
        <w:t>disease</w:t>
      </w:r>
      <w:r w:rsidR="00EF5C60">
        <w:rPr>
          <w:rFonts w:ascii="Calibri" w:hAnsi="Calibri" w:cs="Calibri"/>
          <w:color w:val="000000" w:themeColor="text1"/>
        </w:rPr>
        <w:t xml:space="preserve"> or heat stress</w:t>
      </w:r>
      <w:r w:rsidR="00ED1536">
        <w:rPr>
          <w:rFonts w:ascii="Calibri" w:hAnsi="Calibri" w:cs="Calibri"/>
          <w:color w:val="000000" w:themeColor="text1"/>
        </w:rPr>
        <w:t xml:space="preserve"> </w:t>
      </w:r>
      <w:r w:rsidR="00ED153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Pr>
          <w:rFonts w:ascii="Calibri" w:hAnsi="Calibri" w:cs="Calibri"/>
          <w:color w:val="000000" w:themeColor="text1"/>
        </w:rPr>
        <w:fldChar w:fldCharType="separate"/>
      </w:r>
      <w:r w:rsidR="00D20A7D" w:rsidRPr="00D20A7D">
        <w:rPr>
          <w:rFonts w:ascii="Calibri" w:hAnsi="Calibri" w:cs="Calibri"/>
          <w:color w:val="000000"/>
          <w:kern w:val="0"/>
          <w:lang w:val="en-US"/>
        </w:rPr>
        <w:t>(Howard et al., 2023; Montaño-Salazar et al., 2023)</w:t>
      </w:r>
      <w:r w:rsidR="00ED1536">
        <w:rPr>
          <w:rFonts w:ascii="Calibri" w:hAnsi="Calibri" w:cs="Calibri"/>
          <w:color w:val="000000" w:themeColor="text1"/>
        </w:rPr>
        <w:fldChar w:fldCharType="end"/>
      </w:r>
      <w:r w:rsidRPr="003275B7">
        <w:rPr>
          <w:rFonts w:ascii="Calibri" w:hAnsi="Calibri" w:cs="Calibri"/>
          <w:color w:val="000000" w:themeColor="text1"/>
        </w:rPr>
        <w:t xml:space="preserve">. As such </w:t>
      </w:r>
      <w:r w:rsidRPr="003275B7">
        <w:rPr>
          <w:rFonts w:ascii="Calibri" w:hAnsi="Calibri" w:cs="Calibri"/>
          <w:color w:val="000000" w:themeColor="text1"/>
        </w:rPr>
        <w:lastRenderedPageBreak/>
        <w:t>our results reinforce that algal exudates restructure bacterial communities away from oligotrophic specialists</w:t>
      </w:r>
      <w:r w:rsidR="00EF5C60">
        <w:rPr>
          <w:rFonts w:ascii="Calibri" w:hAnsi="Calibri" w:cs="Calibri"/>
          <w:color w:val="000000" w:themeColor="text1"/>
        </w:rPr>
        <w:t xml:space="preserve">.  </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86" w:name="_Toc232771533"/>
      <w:bookmarkStart w:id="87" w:name="_Toc234162435"/>
      <w:r w:rsidRPr="00F0557B">
        <w:rPr>
          <w:rFonts w:ascii="Calibri" w:hAnsi="Calibri" w:cs="Calibri"/>
          <w:b/>
          <w:bCs/>
          <w:color w:val="000000" w:themeColor="text1"/>
        </w:rPr>
        <w:lastRenderedPageBreak/>
        <w:t>Conclusion</w:t>
      </w:r>
      <w:bookmarkEnd w:id="86"/>
      <w:bookmarkEnd w:id="87"/>
    </w:p>
    <w:p w14:paraId="045FB6BE" w14:textId="470303DF" w:rsidR="0013065B" w:rsidRPr="00F0557B" w:rsidRDefault="0013065B" w:rsidP="00EF5C60">
      <w:pPr>
        <w:spacing w:line="360" w:lineRule="auto"/>
        <w:ind w:firstLine="708"/>
        <w:rPr>
          <w:rFonts w:ascii="Calibri" w:hAnsi="Calibri" w:cs="Calibri"/>
          <w:color w:val="000000" w:themeColor="text1"/>
        </w:rPr>
      </w:pPr>
      <w:r w:rsidRPr="00F0557B">
        <w:rPr>
          <w:rFonts w:ascii="Calibri" w:hAnsi="Calibri" w:cs="Calibri"/>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Pr>
          <w:rFonts w:ascii="Calibri" w:hAnsi="Calibri" w:cs="Calibri"/>
          <w:color w:val="000000" w:themeColor="text1"/>
        </w:rPr>
        <w:t xml:space="preserve"> which was linked to an increase in heterotrophic bacteria anundance, and a decrease in cyanobacteria (</w:t>
      </w:r>
      <w:r w:rsidR="00EF5C60" w:rsidRPr="00EF5C60">
        <w:rPr>
          <w:rFonts w:ascii="Calibri" w:hAnsi="Calibri" w:cs="Calibri"/>
          <w:i/>
          <w:iCs/>
          <w:color w:val="000000" w:themeColor="text1"/>
        </w:rPr>
        <w:t>Synechococcus</w:t>
      </w:r>
      <w:r w:rsidR="00EF5C60">
        <w:rPr>
          <w:rFonts w:ascii="Calibri" w:hAnsi="Calibri" w:cs="Calibri"/>
          <w:color w:val="000000" w:themeColor="text1"/>
        </w:rPr>
        <w:t>).</w:t>
      </w:r>
      <w:r w:rsidRPr="00F0557B">
        <w:rPr>
          <w:rFonts w:ascii="Calibri" w:hAnsi="Calibri" w:cs="Calibri"/>
          <w:color w:val="000000" w:themeColor="text1"/>
        </w:rPr>
        <w:t xml:space="preserve"> Macroalgal enrichment is also associated with distinct bacterioplankton communities which are depleted of oligotrophic bacterial taxa</w:t>
      </w:r>
      <w:r w:rsidR="00EF5C60">
        <w:rPr>
          <w:rFonts w:ascii="Calibri" w:hAnsi="Calibri" w:cs="Calibri"/>
          <w:color w:val="000000" w:themeColor="text1"/>
        </w:rPr>
        <w:t xml:space="preserve"> due to enrichment in copiotrophic bacterial families found under phase shift, heat stress, disease, and/or hypoxic </w:t>
      </w:r>
      <w:r w:rsidR="00EF5C60">
        <w:rPr>
          <w:rFonts w:ascii="Calibri" w:hAnsi="Calibri" w:cs="Calibri"/>
          <w:color w:val="000000" w:themeColor="text1"/>
        </w:rPr>
        <w:t>conditions</w:t>
      </w:r>
      <w:r w:rsidRPr="00F0557B">
        <w:rPr>
          <w:rFonts w:ascii="Calibri" w:hAnsi="Calibri" w:cs="Calibri"/>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88" w:name="_Toc232771534"/>
      <w:bookmarkStart w:id="89" w:name="_Toc234162436"/>
      <w:r w:rsidRPr="00F0557B">
        <w:rPr>
          <w:rFonts w:ascii="Calibri" w:hAnsi="Calibri" w:cs="Calibri"/>
          <w:b/>
          <w:bCs/>
          <w:color w:val="000000" w:themeColor="text1"/>
        </w:rPr>
        <w:lastRenderedPageBreak/>
        <w:t>References</w:t>
      </w:r>
      <w:bookmarkEnd w:id="88"/>
      <w:bookmarkEnd w:id="89"/>
    </w:p>
    <w:p w14:paraId="6A2C1AC3" w14:textId="77777777" w:rsidR="00D20A7D" w:rsidRPr="00D20A7D" w:rsidRDefault="00FF1900" w:rsidP="00D20A7D">
      <w:pPr>
        <w:pStyle w:val="Bibliographie"/>
        <w:rPr>
          <w:rFonts w:ascii="Aptos"/>
          <w:lang w:val="en-US"/>
        </w:rPr>
      </w:pPr>
      <w:r w:rsidRPr="00FA3C7C">
        <w:rPr>
          <w:rFonts w:ascii="Calibri" w:hAnsi="Calibri" w:cs="Calibri"/>
          <w:color w:val="000000" w:themeColor="text1"/>
        </w:rPr>
        <w:fldChar w:fldCharType="begin"/>
      </w:r>
      <w:r w:rsidR="00D20A7D">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D20A7D" w:rsidRPr="00D20A7D">
        <w:rPr>
          <w:rFonts w:ascii="Aptos"/>
          <w:lang w:val="en-US"/>
        </w:rPr>
        <w:t>Adam, T. C., Burkepile, D. E., Holbrook, S. J., Carpenter, R. C., Claudet, J., Loiseau, C., Thiault, L., Brooks, A. J., Washburn, L., &amp; Schmitt, R. J. (2021). Landscape</w:t>
      </w:r>
      <w:r w:rsidR="00D20A7D" w:rsidRPr="00D20A7D">
        <w:rPr>
          <w:rFonts w:ascii="Aptos" w:cs="Cambria Math"/>
          <w:lang w:val="en-US"/>
        </w:rPr>
        <w:t>‐</w:t>
      </w:r>
      <w:r w:rsidR="00D20A7D" w:rsidRPr="00D20A7D">
        <w:rPr>
          <w:rFonts w:ascii="Aptos"/>
          <w:lang w:val="en-US"/>
        </w:rPr>
        <w:t xml:space="preserve">scale patterns of nutrient enrichment in a coral reef ecosystem: Implications for coral to algae phase shifts. </w:t>
      </w:r>
      <w:r w:rsidR="00D20A7D" w:rsidRPr="00D20A7D">
        <w:rPr>
          <w:rFonts w:ascii="Aptos"/>
          <w:i/>
          <w:iCs/>
          <w:lang w:val="en-US"/>
        </w:rPr>
        <w:t>Ecological Applications</w:t>
      </w:r>
      <w:r w:rsidR="00D20A7D" w:rsidRPr="00D20A7D">
        <w:rPr>
          <w:rFonts w:ascii="Aptos"/>
          <w:lang w:val="en-US"/>
        </w:rPr>
        <w:t xml:space="preserve">, </w:t>
      </w:r>
      <w:r w:rsidR="00D20A7D" w:rsidRPr="00D20A7D">
        <w:rPr>
          <w:rFonts w:ascii="Aptos"/>
          <w:i/>
          <w:iCs/>
          <w:lang w:val="en-US"/>
        </w:rPr>
        <w:t>31</w:t>
      </w:r>
      <w:r w:rsidR="00D20A7D" w:rsidRPr="00D20A7D">
        <w:rPr>
          <w:rFonts w:ascii="Aptos"/>
          <w:lang w:val="en-US"/>
        </w:rPr>
        <w:t>(1), e2227. https://doi.org/10.1002/eap.2227</w:t>
      </w:r>
    </w:p>
    <w:p w14:paraId="390B8D85" w14:textId="77777777" w:rsidR="00D20A7D" w:rsidRPr="00D20A7D" w:rsidRDefault="00D20A7D" w:rsidP="00D20A7D">
      <w:pPr>
        <w:pStyle w:val="Bibliographie"/>
        <w:rPr>
          <w:rFonts w:ascii="Aptos"/>
          <w:lang w:val="en-US"/>
        </w:rPr>
      </w:pPr>
      <w:r w:rsidRPr="00D20A7D">
        <w:rPr>
          <w:rFonts w:ascii="Aptos"/>
          <w:lang w:val="en-US"/>
        </w:rPr>
        <w:t xml:space="preserve">Arisdakessian, C., Cleveland, S. B., &amp; Belcaid, M. (2020). MetaFlow|mics: Scalable and Reproducible Nextflow Pipelines for the Analysis of Microbiome Marker Data. </w:t>
      </w:r>
      <w:r w:rsidRPr="00D20A7D">
        <w:rPr>
          <w:rFonts w:ascii="Aptos"/>
          <w:i/>
          <w:iCs/>
          <w:lang w:val="en-US"/>
        </w:rPr>
        <w:t>Practice and Experience in Advanced Research Computing</w:t>
      </w:r>
      <w:r w:rsidRPr="00D20A7D">
        <w:rPr>
          <w:rFonts w:ascii="Aptos"/>
          <w:lang w:val="en-US"/>
        </w:rPr>
        <w:t>, 120–124. https://doi.org/10.1145/3311790.3396664</w:t>
      </w:r>
    </w:p>
    <w:p w14:paraId="0B4109A0" w14:textId="77777777" w:rsidR="00D20A7D" w:rsidRPr="00D20A7D" w:rsidRDefault="00D20A7D" w:rsidP="00D20A7D">
      <w:pPr>
        <w:pStyle w:val="Bibliographie"/>
        <w:rPr>
          <w:rFonts w:ascii="Aptos"/>
          <w:lang w:val="en-US"/>
        </w:rPr>
      </w:pPr>
      <w:r w:rsidRPr="00D20A7D">
        <w:rPr>
          <w:rFonts w:ascii="Aptos"/>
          <w:lang w:val="en-US"/>
        </w:rPr>
        <w:t xml:space="preserve">Bahr, K. D., Jokiel, P. L., &amp; Toonen, R. J. (2015). The unnatural history of Kāne‘ohe Bay: Coral reef resilience in the face of centuries of anthropogenic impacts. </w:t>
      </w:r>
      <w:r w:rsidRPr="00D20A7D">
        <w:rPr>
          <w:rFonts w:ascii="Aptos"/>
          <w:i/>
          <w:iCs/>
          <w:lang w:val="en-US"/>
        </w:rPr>
        <w:t>PeerJ</w:t>
      </w:r>
      <w:r w:rsidRPr="00D20A7D">
        <w:rPr>
          <w:rFonts w:ascii="Aptos"/>
          <w:lang w:val="en-US"/>
        </w:rPr>
        <w:t xml:space="preserve">, </w:t>
      </w:r>
      <w:r w:rsidRPr="00D20A7D">
        <w:rPr>
          <w:rFonts w:ascii="Aptos"/>
          <w:i/>
          <w:iCs/>
          <w:lang w:val="en-US"/>
        </w:rPr>
        <w:t>3</w:t>
      </w:r>
      <w:r w:rsidRPr="00D20A7D">
        <w:rPr>
          <w:rFonts w:ascii="Aptos"/>
          <w:lang w:val="en-US"/>
        </w:rPr>
        <w:t>, e950. https://doi.org/10.7717/peerj.950</w:t>
      </w:r>
    </w:p>
    <w:p w14:paraId="591AFE97" w14:textId="77777777" w:rsidR="00D20A7D" w:rsidRPr="00D20A7D" w:rsidRDefault="00D20A7D" w:rsidP="00D20A7D">
      <w:pPr>
        <w:pStyle w:val="Bibliographie"/>
        <w:rPr>
          <w:rFonts w:ascii="Aptos"/>
          <w:lang w:val="en-US"/>
        </w:rPr>
      </w:pPr>
      <w:r w:rsidRPr="00D20A7D">
        <w:rPr>
          <w:rFonts w:ascii="Aptos"/>
          <w:lang w:val="en-US"/>
        </w:rPr>
        <w:t xml:space="preserve">Barott, K., Williams, G., Vermeij, M., Harris, J., Smith, J., Rohwer, F., &amp; Sandin, S. (2012). Natural history of coral−algae competition across a gradient of human activity in the Line Islands. </w:t>
      </w:r>
      <w:r w:rsidRPr="00D20A7D">
        <w:rPr>
          <w:rFonts w:ascii="Aptos"/>
          <w:i/>
          <w:iCs/>
          <w:lang w:val="en-US"/>
        </w:rPr>
        <w:t>Marine Ecology Progress Series</w:t>
      </w:r>
      <w:r w:rsidRPr="00D20A7D">
        <w:rPr>
          <w:rFonts w:ascii="Aptos"/>
          <w:lang w:val="en-US"/>
        </w:rPr>
        <w:t xml:space="preserve">, </w:t>
      </w:r>
      <w:r w:rsidRPr="00D20A7D">
        <w:rPr>
          <w:rFonts w:ascii="Aptos"/>
          <w:i/>
          <w:iCs/>
          <w:lang w:val="en-US"/>
        </w:rPr>
        <w:t>460</w:t>
      </w:r>
      <w:r w:rsidRPr="00D20A7D">
        <w:rPr>
          <w:rFonts w:ascii="Aptos"/>
          <w:lang w:val="en-US"/>
        </w:rPr>
        <w:t>, 1–12. https://doi.org/10.3354/meps09874</w:t>
      </w:r>
    </w:p>
    <w:p w14:paraId="7BA5BAEC" w14:textId="77777777" w:rsidR="00D20A7D" w:rsidRPr="00D20A7D" w:rsidRDefault="00D20A7D" w:rsidP="00D20A7D">
      <w:pPr>
        <w:pStyle w:val="Bibliographie"/>
        <w:rPr>
          <w:rFonts w:ascii="Aptos"/>
          <w:lang w:val="en-US"/>
        </w:rPr>
      </w:pPr>
      <w:r w:rsidRPr="00D20A7D">
        <w:rPr>
          <w:rFonts w:ascii="Aptos"/>
          <w:lang w:val="en-US"/>
        </w:rPr>
        <w:t xml:space="preserve">Brocke, H. J., Wenzhoefer, F., De Beer, D., Mueller, B., Van Duyl, F. C., &amp; Nugues, M. M. (2015). High dissolved organic carbon release by benthic cyanobacterial mats in a Caribbean reef ecosystem. </w:t>
      </w:r>
      <w:r w:rsidRPr="00D20A7D">
        <w:rPr>
          <w:rFonts w:ascii="Aptos"/>
          <w:i/>
          <w:iCs/>
          <w:lang w:val="en-US"/>
        </w:rPr>
        <w:t>Scientific Reports</w:t>
      </w:r>
      <w:r w:rsidRPr="00D20A7D">
        <w:rPr>
          <w:rFonts w:ascii="Aptos"/>
          <w:lang w:val="en-US"/>
        </w:rPr>
        <w:t xml:space="preserve">, </w:t>
      </w:r>
      <w:r w:rsidRPr="00D20A7D">
        <w:rPr>
          <w:rFonts w:ascii="Aptos"/>
          <w:i/>
          <w:iCs/>
          <w:lang w:val="en-US"/>
        </w:rPr>
        <w:t>5</w:t>
      </w:r>
      <w:r w:rsidRPr="00D20A7D">
        <w:rPr>
          <w:rFonts w:ascii="Aptos"/>
          <w:lang w:val="en-US"/>
        </w:rPr>
        <w:t>(1), 8852. https://doi.org/10.1038/srep08852</w:t>
      </w:r>
    </w:p>
    <w:p w14:paraId="2000E84C" w14:textId="77777777" w:rsidR="00D20A7D" w:rsidRPr="00D20A7D" w:rsidRDefault="00D20A7D" w:rsidP="00D20A7D">
      <w:pPr>
        <w:pStyle w:val="Bibliographie"/>
        <w:rPr>
          <w:rFonts w:ascii="Aptos"/>
          <w:lang w:val="en-US"/>
        </w:rPr>
      </w:pPr>
      <w:r w:rsidRPr="00D20A7D">
        <w:rPr>
          <w:rFonts w:ascii="Aptos"/>
          <w:lang w:val="en-US"/>
        </w:rPr>
        <w:lastRenderedPageBreak/>
        <w:t xml:space="preserve">Bruno, J. F., &amp; Selig, E. R. (2007). Regional Decline of Coral Cover in the Indo-Pacific: Timing, Extent, and Subregional Comparisons. </w:t>
      </w:r>
      <w:r w:rsidRPr="00D20A7D">
        <w:rPr>
          <w:rFonts w:ascii="Aptos"/>
          <w:i/>
          <w:iCs/>
          <w:lang w:val="en-US"/>
        </w:rPr>
        <w:t>PLoS ONE</w:t>
      </w:r>
      <w:r w:rsidRPr="00D20A7D">
        <w:rPr>
          <w:rFonts w:ascii="Aptos"/>
          <w:lang w:val="en-US"/>
        </w:rPr>
        <w:t xml:space="preserve">, </w:t>
      </w:r>
      <w:r w:rsidRPr="00D20A7D">
        <w:rPr>
          <w:rFonts w:ascii="Aptos"/>
          <w:i/>
          <w:iCs/>
          <w:lang w:val="en-US"/>
        </w:rPr>
        <w:t>2</w:t>
      </w:r>
      <w:r w:rsidRPr="00D20A7D">
        <w:rPr>
          <w:rFonts w:ascii="Aptos"/>
          <w:lang w:val="en-US"/>
        </w:rPr>
        <w:t>(8), e711. https://doi.org/10.1371/journal.pone.0000711</w:t>
      </w:r>
    </w:p>
    <w:p w14:paraId="5DDC6920" w14:textId="77777777" w:rsidR="00D20A7D" w:rsidRPr="00D20A7D" w:rsidRDefault="00D20A7D" w:rsidP="00D20A7D">
      <w:pPr>
        <w:pStyle w:val="Bibliographie"/>
        <w:rPr>
          <w:rFonts w:ascii="Aptos"/>
          <w:lang w:val="en-US"/>
        </w:rPr>
      </w:pPr>
      <w:r w:rsidRPr="00D20A7D">
        <w:rPr>
          <w:rFonts w:ascii="Aptos"/>
          <w:lang w:val="en-US"/>
        </w:rPr>
        <w:t xml:space="preserve">Burkepile, D. E., &amp; Hay, M. E. (2006). Herbivore Vs. Nutrient Control of Marine Primary Producers: Context-Dependent Effects. </w:t>
      </w:r>
      <w:r w:rsidRPr="00D20A7D">
        <w:rPr>
          <w:rFonts w:ascii="Aptos"/>
          <w:i/>
          <w:iCs/>
          <w:lang w:val="en-US"/>
        </w:rPr>
        <w:t>Ecology</w:t>
      </w:r>
      <w:r w:rsidRPr="00D20A7D">
        <w:rPr>
          <w:rFonts w:ascii="Aptos"/>
          <w:lang w:val="en-US"/>
        </w:rPr>
        <w:t xml:space="preserve">, </w:t>
      </w:r>
      <w:r w:rsidRPr="00D20A7D">
        <w:rPr>
          <w:rFonts w:ascii="Aptos"/>
          <w:i/>
          <w:iCs/>
          <w:lang w:val="en-US"/>
        </w:rPr>
        <w:t>87</w:t>
      </w:r>
      <w:r w:rsidRPr="00D20A7D">
        <w:rPr>
          <w:rFonts w:ascii="Aptos"/>
          <w:lang w:val="en-US"/>
        </w:rPr>
        <w:t>(12), 3128–3139. https://doi.org/10.1890/0012-9658(2006)87%5B3128:HVNCOM%5D2.0.CO;2</w:t>
      </w:r>
    </w:p>
    <w:p w14:paraId="6BB9CF55" w14:textId="77777777" w:rsidR="00D20A7D" w:rsidRPr="00D20A7D" w:rsidRDefault="00D20A7D" w:rsidP="00D20A7D">
      <w:pPr>
        <w:pStyle w:val="Bibliographie"/>
        <w:rPr>
          <w:rFonts w:ascii="Aptos"/>
          <w:lang w:val="en-US"/>
        </w:rPr>
      </w:pPr>
      <w:r w:rsidRPr="00D20A7D">
        <w:rPr>
          <w:rFonts w:ascii="Aptos"/>
          <w:lang w:val="en-US"/>
        </w:rPr>
        <w:t xml:space="preserve">Callahan, B. J., McMurdie, P. J., Rosen, M. J., Han, A. W., Johnson, A. J. A., &amp; Holmes, S. P. (2016). DADA2: High resolution sample inference from Illumina amplicon data. </w:t>
      </w:r>
      <w:r w:rsidRPr="00D20A7D">
        <w:rPr>
          <w:rFonts w:ascii="Aptos"/>
          <w:i/>
          <w:iCs/>
          <w:lang w:val="en-US"/>
        </w:rPr>
        <w:t>Nature Methods</w:t>
      </w:r>
      <w:r w:rsidRPr="00D20A7D">
        <w:rPr>
          <w:rFonts w:ascii="Aptos"/>
          <w:lang w:val="en-US"/>
        </w:rPr>
        <w:t xml:space="preserve">, </w:t>
      </w:r>
      <w:r w:rsidRPr="00D20A7D">
        <w:rPr>
          <w:rFonts w:ascii="Aptos"/>
          <w:i/>
          <w:iCs/>
          <w:lang w:val="en-US"/>
        </w:rPr>
        <w:t>13</w:t>
      </w:r>
      <w:r w:rsidRPr="00D20A7D">
        <w:rPr>
          <w:rFonts w:ascii="Aptos"/>
          <w:lang w:val="en-US"/>
        </w:rPr>
        <w:t>(7), 581–583. https://doi.org/10.1038/nmeth.3869</w:t>
      </w:r>
    </w:p>
    <w:p w14:paraId="5253E07F" w14:textId="77777777" w:rsidR="00D20A7D" w:rsidRPr="00D20A7D" w:rsidRDefault="00D20A7D" w:rsidP="00D20A7D">
      <w:pPr>
        <w:pStyle w:val="Bibliographie"/>
        <w:rPr>
          <w:rFonts w:ascii="Aptos"/>
          <w:lang w:val="en-US"/>
        </w:rPr>
      </w:pPr>
      <w:r w:rsidRPr="00D20A7D">
        <w:rPr>
          <w:rFonts w:ascii="Aptos"/>
          <w:lang w:val="en-US"/>
        </w:rPr>
        <w:t xml:space="preserve">Caporaso, J. G., Ackermann, G., Apprill, A., Bauer, M., Berg-Lyons, D., Betley, J., Fierer, N., Fraser, L., Fuhrman, J. A., Gilbert, J. A., Gormley, N., Humphrey, G., Huntley, J., Jansson, J. K., Knight, R., Lauber, C. L., Lozupone, C. A., McNally, S., Needham, D. M., … Weber, L. (2018). </w:t>
      </w:r>
      <w:r w:rsidRPr="00D20A7D">
        <w:rPr>
          <w:rFonts w:ascii="Aptos"/>
          <w:i/>
          <w:iCs/>
          <w:lang w:val="en-US"/>
        </w:rPr>
        <w:t>EMP 16S Illumina Amplicon Protocol V.1</w:t>
      </w:r>
      <w:r w:rsidRPr="00D20A7D">
        <w:rPr>
          <w:rFonts w:ascii="Aptos"/>
          <w:lang w:val="en-US"/>
        </w:rPr>
        <w:t>. https://www.protocols.io/view/emp-16s-illumina-amplicon-protocol-kqdg3dzzl25z/v1</w:t>
      </w:r>
    </w:p>
    <w:p w14:paraId="76D84246" w14:textId="77777777" w:rsidR="00D20A7D" w:rsidRPr="00D20A7D" w:rsidRDefault="00D20A7D" w:rsidP="00D20A7D">
      <w:pPr>
        <w:pStyle w:val="Bibliographie"/>
        <w:rPr>
          <w:rFonts w:ascii="Aptos"/>
          <w:lang w:val="en-US"/>
        </w:rPr>
      </w:pPr>
      <w:r w:rsidRPr="00D20A7D">
        <w:rPr>
          <w:rFonts w:ascii="Aptos"/>
          <w:lang w:val="en-US"/>
        </w:rPr>
        <w:t xml:space="preserve">Cleveland, S., Arisdakessian, C., Nelson, C., Belcaid, M., Frank, K., &amp; Jacobs, G. (2022). The C-MĀIKI Gateway: A Modern Science Platform for Analyzing Microbiome Data. </w:t>
      </w:r>
      <w:r w:rsidRPr="00D20A7D">
        <w:rPr>
          <w:rFonts w:ascii="Aptos"/>
          <w:i/>
          <w:iCs/>
          <w:lang w:val="en-US"/>
        </w:rPr>
        <w:t>Practice and Experience in Advanced Research Computing</w:t>
      </w:r>
      <w:r w:rsidRPr="00D20A7D">
        <w:rPr>
          <w:rFonts w:ascii="Aptos"/>
          <w:lang w:val="en-US"/>
        </w:rPr>
        <w:t>, 1–7. https://doi.org/10.1145/3491418.3530291</w:t>
      </w:r>
    </w:p>
    <w:p w14:paraId="617364F9" w14:textId="77777777" w:rsidR="00D20A7D" w:rsidRPr="00D20A7D" w:rsidRDefault="00D20A7D" w:rsidP="00D20A7D">
      <w:pPr>
        <w:pStyle w:val="Bibliographie"/>
        <w:rPr>
          <w:rFonts w:ascii="Aptos"/>
          <w:lang w:val="en-US"/>
        </w:rPr>
      </w:pPr>
      <w:r w:rsidRPr="00D20A7D">
        <w:rPr>
          <w:rFonts w:ascii="Aptos"/>
          <w:lang w:val="en-US"/>
        </w:rPr>
        <w:t xml:space="preserve">Coble, P. G. (1996). Characterization of marine and terrestrial DOM in seawater using excitation-emission matrix spectroscopy. </w:t>
      </w:r>
      <w:r w:rsidRPr="00D20A7D">
        <w:rPr>
          <w:rFonts w:ascii="Aptos"/>
          <w:i/>
          <w:iCs/>
          <w:lang w:val="en-US"/>
        </w:rPr>
        <w:t>Marine Chemistry</w:t>
      </w:r>
      <w:r w:rsidRPr="00D20A7D">
        <w:rPr>
          <w:rFonts w:ascii="Aptos"/>
          <w:lang w:val="en-US"/>
        </w:rPr>
        <w:t xml:space="preserve">, </w:t>
      </w:r>
      <w:r w:rsidRPr="00D20A7D">
        <w:rPr>
          <w:rFonts w:ascii="Aptos"/>
          <w:i/>
          <w:iCs/>
          <w:lang w:val="en-US"/>
        </w:rPr>
        <w:t>51</w:t>
      </w:r>
      <w:r w:rsidRPr="00D20A7D">
        <w:rPr>
          <w:rFonts w:ascii="Aptos"/>
          <w:lang w:val="en-US"/>
        </w:rPr>
        <w:t>(4), 325–346. https://doi.org/10.1016/0304-4203(95)00062-3</w:t>
      </w:r>
    </w:p>
    <w:p w14:paraId="22F593BA" w14:textId="77777777" w:rsidR="00D20A7D" w:rsidRPr="00D20A7D" w:rsidRDefault="00D20A7D" w:rsidP="00D20A7D">
      <w:pPr>
        <w:pStyle w:val="Bibliographie"/>
        <w:rPr>
          <w:rFonts w:ascii="Aptos"/>
          <w:lang w:val="en-US"/>
        </w:rPr>
      </w:pPr>
      <w:r w:rsidRPr="00D20A7D">
        <w:rPr>
          <w:rFonts w:ascii="Aptos"/>
          <w:lang w:val="en-US"/>
        </w:rPr>
        <w:lastRenderedPageBreak/>
        <w:t xml:space="preserve">Comstock, J., Nelson, C. E., James, A., Washburn, L., Remple, K., &amp; Carlson, C. A. (2026). Wave-driven transport controls bacterioplankton community differentiation among coral reef habitats.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11</w:t>
      </w:r>
      <w:r w:rsidRPr="00D20A7D">
        <w:rPr>
          <w:rFonts w:ascii="Aptos"/>
          <w:lang w:val="en-US"/>
        </w:rPr>
        <w:t>(1), e70076. https://doi.org/10.1002/lol2.70076</w:t>
      </w:r>
    </w:p>
    <w:p w14:paraId="4231164B" w14:textId="77777777" w:rsidR="00D20A7D" w:rsidRPr="00D20A7D" w:rsidRDefault="00D20A7D" w:rsidP="00D20A7D">
      <w:pPr>
        <w:pStyle w:val="Bibliographie"/>
        <w:rPr>
          <w:rFonts w:ascii="Aptos"/>
          <w:lang w:val="en-US"/>
        </w:rPr>
      </w:pPr>
      <w:r w:rsidRPr="00D20A7D">
        <w:rPr>
          <w:rFonts w:ascii="Aptos"/>
          <w:lang w:val="en-US"/>
        </w:rPr>
        <w:t xml:space="preserve">Comstock, J., Nelson, C. E., James, A., Wear, E., Baetge, N., Remple, K., Juknavorian, A., &amp; Carlson, C. A. (2022). Bacterioplankton communities reveal horizontal and vertical influence of an Island Mass Effect.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24</w:t>
      </w:r>
      <w:r w:rsidRPr="00D20A7D">
        <w:rPr>
          <w:rFonts w:ascii="Aptos"/>
          <w:lang w:val="en-US"/>
        </w:rPr>
        <w:t>(9), 4193–4208. https://doi.org/10.1111/1462-2920.16092</w:t>
      </w:r>
    </w:p>
    <w:p w14:paraId="70311F46" w14:textId="77777777" w:rsidR="00D20A7D" w:rsidRPr="00D20A7D" w:rsidRDefault="00D20A7D" w:rsidP="00D20A7D">
      <w:pPr>
        <w:pStyle w:val="Bibliographie"/>
        <w:rPr>
          <w:rFonts w:ascii="Aptos"/>
          <w:lang w:val="en-US"/>
        </w:rPr>
      </w:pPr>
      <w:r w:rsidRPr="00D20A7D">
        <w:rPr>
          <w:rFonts w:ascii="Aptos"/>
          <w:lang w:val="en-US"/>
        </w:rPr>
        <w:t xml:space="preserve">Dinsdale, E. A., Pantos, O., Smriga, S., Edwards, R. A., Angly, F., Wegley, L., Hatay, M., Hall, D., Brown, E., Haynes, M., Krause, L., Sala, E., Sandin, S. A., Thurber, R. V., Willis, B. L., Azam, F., Knowlton, N., &amp; Rohwer, F. (2008). Microbial Ecology of Four Coral Atolls in the Northern Line Islands. </w:t>
      </w:r>
      <w:r w:rsidRPr="00D20A7D">
        <w:rPr>
          <w:rFonts w:ascii="Aptos"/>
          <w:i/>
          <w:iCs/>
          <w:lang w:val="en-US"/>
        </w:rPr>
        <w:t>PLoS ONE</w:t>
      </w:r>
      <w:r w:rsidRPr="00D20A7D">
        <w:rPr>
          <w:rFonts w:ascii="Aptos"/>
          <w:lang w:val="en-US"/>
        </w:rPr>
        <w:t xml:space="preserve">, </w:t>
      </w:r>
      <w:r w:rsidRPr="00D20A7D">
        <w:rPr>
          <w:rFonts w:ascii="Aptos"/>
          <w:i/>
          <w:iCs/>
          <w:lang w:val="en-US"/>
        </w:rPr>
        <w:t>3</w:t>
      </w:r>
      <w:r w:rsidRPr="00D20A7D">
        <w:rPr>
          <w:rFonts w:ascii="Aptos"/>
          <w:lang w:val="en-US"/>
        </w:rPr>
        <w:t>(2), e1584. https://doi.org/10.1371/journal.pone.0001584</w:t>
      </w:r>
    </w:p>
    <w:p w14:paraId="2789AD14" w14:textId="77777777" w:rsidR="00D20A7D" w:rsidRPr="00D20A7D" w:rsidRDefault="00D20A7D" w:rsidP="00D20A7D">
      <w:pPr>
        <w:pStyle w:val="Bibliographie"/>
        <w:rPr>
          <w:rFonts w:ascii="Aptos"/>
          <w:lang w:val="en-US"/>
        </w:rPr>
      </w:pPr>
      <w:r w:rsidRPr="00D20A7D">
        <w:rPr>
          <w:rFonts w:ascii="Aptos"/>
          <w:lang w:val="en-US"/>
        </w:rPr>
        <w:t xml:space="preserve">Done, T. J. (1992). </w:t>
      </w:r>
      <w:r w:rsidRPr="00D20A7D">
        <w:rPr>
          <w:rFonts w:ascii="Aptos"/>
          <w:i/>
          <w:iCs/>
          <w:lang w:val="en-US"/>
        </w:rPr>
        <w:t>Phase shifts in coral reef communities and their ecological significance</w:t>
      </w:r>
      <w:r w:rsidRPr="00D20A7D">
        <w:rPr>
          <w:rFonts w:ascii="Aptos"/>
          <w:lang w:val="en-US"/>
        </w:rPr>
        <w:t>.</w:t>
      </w:r>
    </w:p>
    <w:p w14:paraId="67C19A46" w14:textId="77777777" w:rsidR="00D20A7D" w:rsidRPr="00D20A7D" w:rsidRDefault="00D20A7D" w:rsidP="00D20A7D">
      <w:pPr>
        <w:pStyle w:val="Bibliographie"/>
        <w:rPr>
          <w:rFonts w:ascii="Aptos"/>
          <w:lang w:val="en-US"/>
        </w:rPr>
      </w:pPr>
      <w:r w:rsidRPr="00D20A7D">
        <w:rPr>
          <w:rFonts w:ascii="Aptos"/>
          <w:lang w:val="en-US"/>
        </w:rPr>
        <w:t xml:space="preserve">Edmunds, P. J., John, C., Leichter, J. J., Moritz, C., Scafidi, K. C., Speare, K. E., Srednick, G., &amp; Wyatt, A. S. J. (2025). Long-term community dynamics are heterogeneous between fringing- and fore-reef habitats on an Indo-Pacific coral reef. </w:t>
      </w:r>
      <w:r w:rsidRPr="00D20A7D">
        <w:rPr>
          <w:rFonts w:ascii="Aptos"/>
          <w:i/>
          <w:iCs/>
          <w:lang w:val="en-US"/>
        </w:rPr>
        <w:t>Ecosphere</w:t>
      </w:r>
      <w:r w:rsidRPr="00D20A7D">
        <w:rPr>
          <w:rFonts w:ascii="Aptos"/>
          <w:lang w:val="en-US"/>
        </w:rPr>
        <w:t xml:space="preserve">, </w:t>
      </w:r>
      <w:r w:rsidRPr="00D20A7D">
        <w:rPr>
          <w:rFonts w:ascii="Aptos"/>
          <w:i/>
          <w:iCs/>
          <w:lang w:val="en-US"/>
        </w:rPr>
        <w:t>16</w:t>
      </w:r>
      <w:r w:rsidRPr="00D20A7D">
        <w:rPr>
          <w:rFonts w:ascii="Aptos"/>
          <w:lang w:val="en-US"/>
        </w:rPr>
        <w:t>(10), e70398. https://doi.org/10.1002/ecs2.70398</w:t>
      </w:r>
    </w:p>
    <w:p w14:paraId="0948709C" w14:textId="77777777" w:rsidR="00D20A7D" w:rsidRPr="00D20A7D" w:rsidRDefault="00D20A7D" w:rsidP="00D20A7D">
      <w:pPr>
        <w:pStyle w:val="Bibliographie"/>
        <w:rPr>
          <w:rFonts w:ascii="Aptos"/>
          <w:lang w:val="fr-FR"/>
        </w:rPr>
      </w:pPr>
      <w:r w:rsidRPr="00D20A7D">
        <w:rPr>
          <w:rFonts w:ascii="Aptos"/>
          <w:lang w:val="en-US"/>
        </w:rPr>
        <w:t xml:space="preserve">Frøslev, T. G., Kjøller, R., Bruun, H. H., Ejrnæs, R., Brunbjerg, A. K., Pietroni, C., &amp; Hansen, A. J. (2017). Algorithm for post-clustering curation of DNA amplicon data yields reliable biodiversity estimates. </w:t>
      </w:r>
      <w:r w:rsidRPr="00D20A7D">
        <w:rPr>
          <w:rFonts w:ascii="Aptos"/>
          <w:i/>
          <w:iCs/>
          <w:lang w:val="fr-FR"/>
        </w:rPr>
        <w:t>Nature Communications</w:t>
      </w:r>
      <w:r w:rsidRPr="00D20A7D">
        <w:rPr>
          <w:rFonts w:ascii="Aptos"/>
          <w:lang w:val="fr-FR"/>
        </w:rPr>
        <w:t xml:space="preserve">, </w:t>
      </w:r>
      <w:r w:rsidRPr="00D20A7D">
        <w:rPr>
          <w:rFonts w:ascii="Aptos"/>
          <w:i/>
          <w:iCs/>
          <w:lang w:val="fr-FR"/>
        </w:rPr>
        <w:t>8</w:t>
      </w:r>
      <w:r w:rsidRPr="00D20A7D">
        <w:rPr>
          <w:rFonts w:ascii="Aptos"/>
          <w:lang w:val="fr-FR"/>
        </w:rPr>
        <w:t>(1), 1188. https://doi.org/10.1038/s41467-017-01312-x</w:t>
      </w:r>
    </w:p>
    <w:p w14:paraId="3B14C9D8" w14:textId="77777777" w:rsidR="00D20A7D" w:rsidRPr="00D20A7D" w:rsidRDefault="00D20A7D" w:rsidP="00D20A7D">
      <w:pPr>
        <w:pStyle w:val="Bibliographie"/>
        <w:rPr>
          <w:rFonts w:ascii="Aptos"/>
          <w:lang w:val="en-US"/>
        </w:rPr>
      </w:pPr>
      <w:r w:rsidRPr="00D20A7D">
        <w:rPr>
          <w:rFonts w:ascii="Aptos"/>
          <w:lang w:val="fr-FR"/>
        </w:rPr>
        <w:lastRenderedPageBreak/>
        <w:t xml:space="preserve">Gu, Z., Eils, R., &amp; Schlesner, M. (2016). </w:t>
      </w:r>
      <w:r w:rsidRPr="00D20A7D">
        <w:rPr>
          <w:rFonts w:ascii="Aptos"/>
          <w:lang w:val="en-US"/>
        </w:rPr>
        <w:t xml:space="preserve">Complex heatmaps reveal patterns and correlations in multidimensional genomic data. </w:t>
      </w:r>
      <w:r w:rsidRPr="00D20A7D">
        <w:rPr>
          <w:rFonts w:ascii="Aptos"/>
          <w:i/>
          <w:iCs/>
          <w:lang w:val="en-US"/>
        </w:rPr>
        <w:t>Bioinformatics</w:t>
      </w:r>
      <w:r w:rsidRPr="00D20A7D">
        <w:rPr>
          <w:rFonts w:ascii="Aptos"/>
          <w:lang w:val="en-US"/>
        </w:rPr>
        <w:t xml:space="preserve">, </w:t>
      </w:r>
      <w:r w:rsidRPr="00D20A7D">
        <w:rPr>
          <w:rFonts w:ascii="Aptos"/>
          <w:i/>
          <w:iCs/>
          <w:lang w:val="en-US"/>
        </w:rPr>
        <w:t>32</w:t>
      </w:r>
      <w:r w:rsidRPr="00D20A7D">
        <w:rPr>
          <w:rFonts w:ascii="Aptos"/>
          <w:lang w:val="en-US"/>
        </w:rPr>
        <w:t>(18), 2847–2849. https://doi.org/10.1093/bioinformatics/btw313</w:t>
      </w:r>
    </w:p>
    <w:p w14:paraId="27902DA6" w14:textId="77777777" w:rsidR="00D20A7D" w:rsidRPr="00D20A7D" w:rsidRDefault="00D20A7D" w:rsidP="00D20A7D">
      <w:pPr>
        <w:pStyle w:val="Bibliographie"/>
        <w:rPr>
          <w:rFonts w:ascii="Aptos"/>
          <w:lang w:val="en-US"/>
        </w:rPr>
      </w:pPr>
      <w:r w:rsidRPr="00D20A7D">
        <w:rPr>
          <w:rFonts w:ascii="Aptos"/>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D20A7D">
        <w:rPr>
          <w:rFonts w:ascii="Aptos"/>
          <w:i/>
          <w:iCs/>
          <w:lang w:val="en-US"/>
        </w:rPr>
        <w:t>Nature Microbiology</w:t>
      </w:r>
      <w:r w:rsidRPr="00D20A7D">
        <w:rPr>
          <w:rFonts w:ascii="Aptos"/>
          <w:lang w:val="en-US"/>
        </w:rPr>
        <w:t xml:space="preserve">, </w:t>
      </w:r>
      <w:r w:rsidRPr="00D20A7D">
        <w:rPr>
          <w:rFonts w:ascii="Aptos"/>
          <w:i/>
          <w:iCs/>
          <w:lang w:val="en-US"/>
        </w:rPr>
        <w:t>1</w:t>
      </w:r>
      <w:r w:rsidRPr="00D20A7D">
        <w:rPr>
          <w:rFonts w:ascii="Aptos"/>
          <w:lang w:val="en-US"/>
        </w:rPr>
        <w:t>(6), 16042. https://doi.org/10.1038/nmicrobiol.2016.42</w:t>
      </w:r>
    </w:p>
    <w:p w14:paraId="61340C66" w14:textId="77777777" w:rsidR="00D20A7D" w:rsidRPr="00D20A7D" w:rsidRDefault="00D20A7D" w:rsidP="00D20A7D">
      <w:pPr>
        <w:pStyle w:val="Bibliographie"/>
        <w:rPr>
          <w:rFonts w:ascii="Aptos"/>
          <w:lang w:val="en-US"/>
        </w:rPr>
      </w:pPr>
      <w:r w:rsidRPr="00D20A7D">
        <w:rPr>
          <w:rFonts w:ascii="Aptos"/>
          <w:lang w:val="en-US"/>
        </w:rPr>
        <w:t xml:space="preserve">Haas, A. F., Nelson, C. E., Rohwer, F., Wegley-Kelly, L., Quistad, S. D., Carlson, C. A., Leichter, J. J., Hatay, M., &amp; Smith, J. E. (2013). Influence of coral and algal exudates on microbially mediated reef metabolism. </w:t>
      </w:r>
      <w:r w:rsidRPr="00D20A7D">
        <w:rPr>
          <w:rFonts w:ascii="Aptos"/>
          <w:i/>
          <w:iCs/>
          <w:lang w:val="en-US"/>
        </w:rPr>
        <w:t>PeerJ</w:t>
      </w:r>
      <w:r w:rsidRPr="00D20A7D">
        <w:rPr>
          <w:rFonts w:ascii="Aptos"/>
          <w:lang w:val="en-US"/>
        </w:rPr>
        <w:t xml:space="preserve">, </w:t>
      </w:r>
      <w:r w:rsidRPr="00D20A7D">
        <w:rPr>
          <w:rFonts w:ascii="Aptos"/>
          <w:i/>
          <w:iCs/>
          <w:lang w:val="en-US"/>
        </w:rPr>
        <w:t>1</w:t>
      </w:r>
      <w:r w:rsidRPr="00D20A7D">
        <w:rPr>
          <w:rFonts w:ascii="Aptos"/>
          <w:lang w:val="en-US"/>
        </w:rPr>
        <w:t>, e108. https://doi.org/10.7717/peerj.108</w:t>
      </w:r>
    </w:p>
    <w:p w14:paraId="24CC8FC1" w14:textId="77777777" w:rsidR="00D20A7D" w:rsidRPr="00D20A7D" w:rsidRDefault="00D20A7D" w:rsidP="00D20A7D">
      <w:pPr>
        <w:pStyle w:val="Bibliographie"/>
        <w:rPr>
          <w:rFonts w:ascii="Aptos"/>
          <w:lang w:val="en-US"/>
        </w:rPr>
      </w:pPr>
      <w:r w:rsidRPr="00D20A7D">
        <w:rPr>
          <w:rFonts w:ascii="Aptos"/>
          <w:lang w:val="en-US"/>
        </w:rPr>
        <w:t xml:space="preserve">Haas, A. F., Nelson, C. E., Wegley Kelly, L., Carlson, C. A., Rohwer, F., Leichter, J. J., Wyatt, A., &amp; Smith, J. E. (2011). Effects of Coral Reef Benthic Primary Producers on Dissolved Organic Carbon and Microbial Activity. </w:t>
      </w:r>
      <w:r w:rsidRPr="00D20A7D">
        <w:rPr>
          <w:rFonts w:ascii="Aptos"/>
          <w:i/>
          <w:iCs/>
          <w:lang w:val="en-US"/>
        </w:rPr>
        <w:t>PLoS ONE</w:t>
      </w:r>
      <w:r w:rsidRPr="00D20A7D">
        <w:rPr>
          <w:rFonts w:ascii="Aptos"/>
          <w:lang w:val="en-US"/>
        </w:rPr>
        <w:t xml:space="preserve">, </w:t>
      </w:r>
      <w:r w:rsidRPr="00D20A7D">
        <w:rPr>
          <w:rFonts w:ascii="Aptos"/>
          <w:i/>
          <w:iCs/>
          <w:lang w:val="en-US"/>
        </w:rPr>
        <w:t>6</w:t>
      </w:r>
      <w:r w:rsidRPr="00D20A7D">
        <w:rPr>
          <w:rFonts w:ascii="Aptos"/>
          <w:lang w:val="en-US"/>
        </w:rPr>
        <w:t>(11), e27973. https://doi.org/10.1371/journal.pone.0027973</w:t>
      </w:r>
    </w:p>
    <w:p w14:paraId="56B3ABC4" w14:textId="77777777" w:rsidR="00D20A7D" w:rsidRPr="00D20A7D" w:rsidRDefault="00D20A7D" w:rsidP="00D20A7D">
      <w:pPr>
        <w:pStyle w:val="Bibliographie"/>
        <w:rPr>
          <w:rFonts w:ascii="Aptos"/>
          <w:lang w:val="en-US"/>
        </w:rPr>
      </w:pPr>
      <w:r w:rsidRPr="00D20A7D">
        <w:rPr>
          <w:rFonts w:ascii="Aptos"/>
          <w:lang w:val="en-US"/>
        </w:rPr>
        <w:t xml:space="preserve">Howard, R. D., Schul, M. D., Rodriguez Bravo, L. M., Altieri, A. H., &amp; Meyer, J. L. (2023). Shifts in the coral microbiome in response to in situ experimental deoxygenation.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89</w:t>
      </w:r>
      <w:r w:rsidRPr="00D20A7D">
        <w:rPr>
          <w:rFonts w:ascii="Aptos"/>
          <w:lang w:val="en-US"/>
        </w:rPr>
        <w:t>(11), e00577-23.</w:t>
      </w:r>
    </w:p>
    <w:p w14:paraId="45D15113" w14:textId="77777777" w:rsidR="00D20A7D" w:rsidRPr="00D20A7D" w:rsidRDefault="00D20A7D" w:rsidP="00D20A7D">
      <w:pPr>
        <w:pStyle w:val="Bibliographie"/>
        <w:rPr>
          <w:rFonts w:ascii="Aptos"/>
          <w:lang w:val="fr-FR"/>
        </w:rPr>
      </w:pPr>
      <w:r w:rsidRPr="00D20A7D">
        <w:rPr>
          <w:rFonts w:ascii="Aptos"/>
          <w:lang w:val="en-US"/>
        </w:rPr>
        <w:t xml:space="preserve">Hughes, T. P. (1994). Catastrophes, Phase Shifts, and Large-Scale Degradation of a Caribbean Coral Reef. </w:t>
      </w:r>
      <w:r w:rsidRPr="00D20A7D">
        <w:rPr>
          <w:rFonts w:ascii="Aptos"/>
          <w:i/>
          <w:iCs/>
          <w:lang w:val="fr-FR"/>
        </w:rPr>
        <w:t>Science</w:t>
      </w:r>
      <w:r w:rsidRPr="00D20A7D">
        <w:rPr>
          <w:rFonts w:ascii="Aptos"/>
          <w:lang w:val="fr-FR"/>
        </w:rPr>
        <w:t xml:space="preserve">, </w:t>
      </w:r>
      <w:r w:rsidRPr="00D20A7D">
        <w:rPr>
          <w:rFonts w:ascii="Aptos"/>
          <w:i/>
          <w:iCs/>
          <w:lang w:val="fr-FR"/>
        </w:rPr>
        <w:t>265</w:t>
      </w:r>
      <w:r w:rsidRPr="00D20A7D">
        <w:rPr>
          <w:rFonts w:ascii="Aptos"/>
          <w:lang w:val="fr-FR"/>
        </w:rPr>
        <w:t>(5178), 1547–1551.</w:t>
      </w:r>
    </w:p>
    <w:p w14:paraId="0A201BB3" w14:textId="77777777" w:rsidR="00D20A7D" w:rsidRPr="00D20A7D" w:rsidRDefault="00D20A7D" w:rsidP="00D20A7D">
      <w:pPr>
        <w:pStyle w:val="Bibliographie"/>
        <w:rPr>
          <w:rFonts w:ascii="Aptos"/>
          <w:lang w:val="en-US"/>
        </w:rPr>
      </w:pPr>
      <w:r w:rsidRPr="00D20A7D">
        <w:rPr>
          <w:rFonts w:ascii="Aptos"/>
          <w:lang w:val="fr-FR"/>
        </w:rPr>
        <w:lastRenderedPageBreak/>
        <w:t xml:space="preserve">Huguet, A., Vacher, L., Relexans, S., Saubusse, S., Froidefond, J. M., &amp; Parlanti, E. (2009). </w:t>
      </w:r>
      <w:r w:rsidRPr="00D20A7D">
        <w:rPr>
          <w:rFonts w:ascii="Aptos"/>
          <w:lang w:val="en-US"/>
        </w:rPr>
        <w:t xml:space="preserve">Properties of fluorescent dissolved organic matter in the Gironde Estuary. </w:t>
      </w:r>
      <w:r w:rsidRPr="00D20A7D">
        <w:rPr>
          <w:rFonts w:ascii="Aptos"/>
          <w:i/>
          <w:iCs/>
          <w:lang w:val="en-US"/>
        </w:rPr>
        <w:t>Organic Geochemistry</w:t>
      </w:r>
      <w:r w:rsidRPr="00D20A7D">
        <w:rPr>
          <w:rFonts w:ascii="Aptos"/>
          <w:lang w:val="en-US"/>
        </w:rPr>
        <w:t xml:space="preserve">, </w:t>
      </w:r>
      <w:r w:rsidRPr="00D20A7D">
        <w:rPr>
          <w:rFonts w:ascii="Aptos"/>
          <w:i/>
          <w:iCs/>
          <w:lang w:val="en-US"/>
        </w:rPr>
        <w:t>40</w:t>
      </w:r>
      <w:r w:rsidRPr="00D20A7D">
        <w:rPr>
          <w:rFonts w:ascii="Aptos"/>
          <w:lang w:val="en-US"/>
        </w:rPr>
        <w:t>(6), 706–719. https://doi.org/10.1016/j.orggeochem.2009.03.002</w:t>
      </w:r>
    </w:p>
    <w:p w14:paraId="0CD354AF" w14:textId="77777777" w:rsidR="00D20A7D" w:rsidRPr="00D20A7D" w:rsidRDefault="00D20A7D" w:rsidP="00D20A7D">
      <w:pPr>
        <w:pStyle w:val="Bibliographie"/>
        <w:rPr>
          <w:rFonts w:ascii="Aptos"/>
          <w:lang w:val="en-US"/>
        </w:rPr>
      </w:pPr>
      <w:r w:rsidRPr="00D20A7D">
        <w:rPr>
          <w:rFonts w:ascii="Aptos"/>
          <w:lang w:val="en-US"/>
        </w:rPr>
        <w:t xml:space="preserve">Jani, A. J., Bushell, J., Arisdakessian, C. G., Belcaid, M., Boiano, D. M., Brown, C., &amp; Knapp, R. A. (2021). The amphibian microbiome exhibits poor resilience following pathogen-induced disturbance. </w:t>
      </w:r>
      <w:r w:rsidRPr="00D20A7D">
        <w:rPr>
          <w:rFonts w:ascii="Aptos"/>
          <w:i/>
          <w:iCs/>
          <w:lang w:val="en-US"/>
        </w:rPr>
        <w:t>The ISME Journal</w:t>
      </w:r>
      <w:r w:rsidRPr="00D20A7D">
        <w:rPr>
          <w:rFonts w:ascii="Aptos"/>
          <w:lang w:val="en-US"/>
        </w:rPr>
        <w:t xml:space="preserve">, </w:t>
      </w:r>
      <w:r w:rsidRPr="00D20A7D">
        <w:rPr>
          <w:rFonts w:ascii="Aptos"/>
          <w:i/>
          <w:iCs/>
          <w:lang w:val="en-US"/>
        </w:rPr>
        <w:t>15</w:t>
      </w:r>
      <w:r w:rsidRPr="00D20A7D">
        <w:rPr>
          <w:rFonts w:ascii="Aptos"/>
          <w:lang w:val="en-US"/>
        </w:rPr>
        <w:t>(6), 1628–1640. https://doi.org/10.1038/s41396-020-00875-w</w:t>
      </w:r>
    </w:p>
    <w:p w14:paraId="226468F6" w14:textId="77777777" w:rsidR="00D20A7D" w:rsidRPr="00D20A7D" w:rsidRDefault="00D20A7D" w:rsidP="00D20A7D">
      <w:pPr>
        <w:pStyle w:val="Bibliographie"/>
        <w:rPr>
          <w:rFonts w:ascii="Aptos"/>
          <w:lang w:val="en-US"/>
        </w:rPr>
      </w:pPr>
      <w:r w:rsidRPr="00D20A7D">
        <w:rPr>
          <w:rFonts w:ascii="Aptos"/>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70</w:t>
      </w:r>
      <w:r w:rsidRPr="00D20A7D">
        <w:rPr>
          <w:rFonts w:ascii="Aptos"/>
          <w:lang w:val="en-US"/>
        </w:rPr>
        <w:t>(12), 3741–3754. https://doi.org/10.1002/lno.70240</w:t>
      </w:r>
    </w:p>
    <w:p w14:paraId="011B5F5E" w14:textId="77777777" w:rsidR="00D20A7D" w:rsidRPr="00D20A7D" w:rsidRDefault="00D20A7D" w:rsidP="00D20A7D">
      <w:pPr>
        <w:pStyle w:val="Bibliographie"/>
        <w:rPr>
          <w:rFonts w:ascii="Aptos"/>
          <w:lang w:val="fr-FR"/>
        </w:rPr>
      </w:pPr>
      <w:r w:rsidRPr="00D20A7D">
        <w:rPr>
          <w:rFonts w:ascii="Aptos"/>
          <w:lang w:val="en-US"/>
        </w:rPr>
        <w:t xml:space="preserve">Jones, R., Fisher, R., &amp; Bessell-Browne, P. (2019). Sediment deposition and coral smothering. </w:t>
      </w:r>
      <w:r w:rsidRPr="00D20A7D">
        <w:rPr>
          <w:rFonts w:ascii="Aptos"/>
          <w:i/>
          <w:iCs/>
          <w:lang w:val="fr-FR"/>
        </w:rPr>
        <w:t>PLOS ONE</w:t>
      </w:r>
      <w:r w:rsidRPr="00D20A7D">
        <w:rPr>
          <w:rFonts w:ascii="Aptos"/>
          <w:lang w:val="fr-FR"/>
        </w:rPr>
        <w:t xml:space="preserve">, </w:t>
      </w:r>
      <w:r w:rsidRPr="00D20A7D">
        <w:rPr>
          <w:rFonts w:ascii="Aptos"/>
          <w:i/>
          <w:iCs/>
          <w:lang w:val="fr-FR"/>
        </w:rPr>
        <w:t>14</w:t>
      </w:r>
      <w:r w:rsidRPr="00D20A7D">
        <w:rPr>
          <w:rFonts w:ascii="Aptos"/>
          <w:lang w:val="fr-FR"/>
        </w:rPr>
        <w:t>(6), e0216248. https://doi.org/10.1371/journal.pone.0216248</w:t>
      </w:r>
    </w:p>
    <w:p w14:paraId="12263CE4" w14:textId="77777777" w:rsidR="00D20A7D" w:rsidRPr="00D20A7D" w:rsidRDefault="00D20A7D" w:rsidP="00D20A7D">
      <w:pPr>
        <w:pStyle w:val="Bibliographie"/>
        <w:rPr>
          <w:rFonts w:ascii="Aptos"/>
          <w:lang w:val="en-US"/>
        </w:rPr>
      </w:pPr>
      <w:r w:rsidRPr="00D20A7D">
        <w:rPr>
          <w:rFonts w:ascii="Aptos"/>
          <w:lang w:val="fr-FR"/>
        </w:rPr>
        <w:t xml:space="preserve">Kayal, M., Vercelloni, J., Lison De Loma, T., Bosserelle, P., Chancerelle, Y., Geoffroy, S., Stievenart, C., Michonneau, F., Penin, L., Planes, S., &amp; Adjeroud, M. (2012). </w:t>
      </w:r>
      <w:r w:rsidRPr="00D20A7D">
        <w:rPr>
          <w:rFonts w:ascii="Aptos"/>
          <w:lang w:val="en-US"/>
        </w:rPr>
        <w:t xml:space="preserve">Predator Crown-of-Thorns Starfish (Acanthaster planci) Outbreak, Mass Mortality of Corals, and Cascading Effects on Reef Fish and Benthic Communities.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(10), e47363. https://doi.org/10.1371/journal.pone.0047363</w:t>
      </w:r>
    </w:p>
    <w:p w14:paraId="5FFAC2F4" w14:textId="77777777" w:rsidR="00D20A7D" w:rsidRPr="00D20A7D" w:rsidRDefault="00D20A7D" w:rsidP="00D20A7D">
      <w:pPr>
        <w:pStyle w:val="Bibliographie"/>
        <w:rPr>
          <w:rFonts w:ascii="Aptos"/>
          <w:lang w:val="en-US"/>
        </w:rPr>
      </w:pPr>
      <w:r w:rsidRPr="00D20A7D">
        <w:rPr>
          <w:rFonts w:ascii="Aptos"/>
          <w:lang w:val="en-US"/>
        </w:rPr>
        <w:lastRenderedPageBreak/>
        <w:t xml:space="preserve">Kealoha, A., Calil, P. H. R., Hawco, N. J., Masessa, G., Mattos, J., Nalley, E., Nelson, C. E., Summers, T., Swift, S., Peterman, J., Rohrbaugh, N., &amp; Tegler, L. (2025). </w:t>
      </w:r>
      <w:r w:rsidRPr="00D20A7D">
        <w:rPr>
          <w:rFonts w:ascii="Aptos"/>
          <w:i/>
          <w:iCs/>
          <w:lang w:val="en-US"/>
        </w:rPr>
        <w:t>Water quality parameters from discrete shoreline and transect sampling in West Maui (Lahaina area), Hawai</w:t>
      </w:r>
      <w:r w:rsidRPr="00D20A7D">
        <w:rPr>
          <w:rFonts w:ascii="Arial" w:hAnsi="Arial" w:cs="Arial"/>
          <w:i/>
          <w:iCs/>
          <w:lang w:val="en-US"/>
        </w:rPr>
        <w:t>ʻ</w:t>
      </w:r>
      <w:r w:rsidRPr="00D20A7D">
        <w:rPr>
          <w:rFonts w:ascii="Aptos"/>
          <w:i/>
          <w:iCs/>
          <w:lang w:val="en-US"/>
        </w:rPr>
        <w:t>i, following the Lahaina Wildfires, Aug 2023 to Oct 2024</w:t>
      </w:r>
      <w:r w:rsidRPr="00D20A7D">
        <w:rPr>
          <w:rFonts w:ascii="Aptos"/>
          <w:lang w:val="en-US"/>
        </w:rPr>
        <w:t>. https://hdl.handle.net/1912/72314</w:t>
      </w:r>
    </w:p>
    <w:p w14:paraId="321604F6" w14:textId="77777777" w:rsidR="00D20A7D" w:rsidRPr="00D20A7D" w:rsidRDefault="00D20A7D" w:rsidP="00D20A7D">
      <w:pPr>
        <w:pStyle w:val="Bibliographie"/>
        <w:rPr>
          <w:rFonts w:ascii="Aptos"/>
          <w:lang w:val="en-US"/>
        </w:rPr>
      </w:pPr>
      <w:r w:rsidRPr="00D20A7D">
        <w:rPr>
          <w:rFonts w:ascii="Aptos"/>
          <w:lang w:val="en-US"/>
        </w:rPr>
        <w:t xml:space="preserve">Kothawala, D. N., Murphy, K. R., Stedmon, C. A., Weyhenmeyer, G. A., &amp; Tranvik, L. J. (2013). Inner filter correction of dissolved organic matter fluorescence.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11</w:t>
      </w:r>
      <w:r w:rsidRPr="00D20A7D">
        <w:rPr>
          <w:rFonts w:ascii="Aptos"/>
          <w:lang w:val="en-US"/>
        </w:rPr>
        <w:t>(12), 616–630. https://doi.org/10.4319/lom.2013.11.616</w:t>
      </w:r>
    </w:p>
    <w:p w14:paraId="11C92C55" w14:textId="77777777" w:rsidR="00D20A7D" w:rsidRPr="00D20A7D" w:rsidRDefault="00D20A7D" w:rsidP="00D20A7D">
      <w:pPr>
        <w:pStyle w:val="Bibliographie"/>
        <w:rPr>
          <w:rFonts w:ascii="Aptos"/>
          <w:lang w:val="en-US"/>
        </w:rPr>
      </w:pPr>
      <w:r w:rsidRPr="00D20A7D">
        <w:rPr>
          <w:rFonts w:ascii="Aptos"/>
          <w:lang w:val="en-US"/>
        </w:rPr>
        <w:t xml:space="preserve">Lawaetz, A., &amp; Stedmon, C. (2009). Fluorescence Intensity Calibration Using the Raman Scatter Peak of Water. </w:t>
      </w:r>
      <w:r w:rsidRPr="00D20A7D">
        <w:rPr>
          <w:rFonts w:ascii="Aptos"/>
          <w:i/>
          <w:iCs/>
          <w:lang w:val="en-US"/>
        </w:rPr>
        <w:t>Applied Spectroscopy</w:t>
      </w:r>
      <w:r w:rsidRPr="00D20A7D">
        <w:rPr>
          <w:rFonts w:ascii="Aptos"/>
          <w:lang w:val="en-US"/>
        </w:rPr>
        <w:t xml:space="preserve">, </w:t>
      </w:r>
      <w:r w:rsidRPr="00D20A7D">
        <w:rPr>
          <w:rFonts w:ascii="Aptos"/>
          <w:i/>
          <w:iCs/>
          <w:lang w:val="en-US"/>
        </w:rPr>
        <w:t>63</w:t>
      </w:r>
      <w:r w:rsidRPr="00D20A7D">
        <w:rPr>
          <w:rFonts w:ascii="Aptos"/>
          <w:lang w:val="en-US"/>
        </w:rPr>
        <w:t>, 936–940. https://doi.org/10.1366/000370209788964548</w:t>
      </w:r>
    </w:p>
    <w:p w14:paraId="6DB67FFC" w14:textId="77777777" w:rsidR="00D20A7D" w:rsidRPr="00D20A7D" w:rsidRDefault="00D20A7D" w:rsidP="00D20A7D">
      <w:pPr>
        <w:pStyle w:val="Bibliographie"/>
        <w:rPr>
          <w:rFonts w:ascii="Aptos"/>
          <w:lang w:val="en-US"/>
        </w:rPr>
      </w:pPr>
      <w:r w:rsidRPr="00D20A7D">
        <w:rPr>
          <w:rFonts w:ascii="Aptos"/>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D20A7D">
        <w:rPr>
          <w:rFonts w:ascii="Aptos"/>
          <w:i/>
          <w:iCs/>
          <w:lang w:val="en-US"/>
        </w:rPr>
        <w:t>Oceanography</w:t>
      </w:r>
      <w:r w:rsidRPr="00D20A7D">
        <w:rPr>
          <w:rFonts w:ascii="Aptos"/>
          <w:lang w:val="en-US"/>
        </w:rPr>
        <w:t xml:space="preserve">, </w:t>
      </w:r>
      <w:r w:rsidRPr="00D20A7D">
        <w:rPr>
          <w:rFonts w:ascii="Aptos"/>
          <w:i/>
          <w:iCs/>
          <w:lang w:val="en-US"/>
        </w:rPr>
        <w:t>26</w:t>
      </w:r>
      <w:r w:rsidRPr="00D20A7D">
        <w:rPr>
          <w:rFonts w:ascii="Aptos"/>
          <w:lang w:val="en-US"/>
        </w:rPr>
        <w:t>(3), 52–63. https://doi.org/10.5670/oceanog.2013.45</w:t>
      </w:r>
    </w:p>
    <w:p w14:paraId="0D58CEDA" w14:textId="77777777" w:rsidR="00D20A7D" w:rsidRPr="00D20A7D" w:rsidRDefault="00D20A7D" w:rsidP="00D20A7D">
      <w:pPr>
        <w:pStyle w:val="Bibliographie"/>
        <w:rPr>
          <w:rFonts w:ascii="Aptos"/>
          <w:lang w:val="en-US"/>
        </w:rPr>
      </w:pPr>
      <w:r w:rsidRPr="00D20A7D">
        <w:rPr>
          <w:rFonts w:ascii="Aptos"/>
          <w:lang w:val="en-US"/>
        </w:rPr>
        <w:t xml:space="preserve">Lenth, R. V., Piaskowski, J., Banfai, B., Bolker, B., Buerkner, P., Giné-Vázquez, I., Hervé, M., Jung, M., Love, J., Miguez, F., Riebl, H., &amp; Singmann, H. (2026). </w:t>
      </w:r>
      <w:r w:rsidRPr="00D20A7D">
        <w:rPr>
          <w:rFonts w:ascii="Aptos"/>
          <w:i/>
          <w:iCs/>
          <w:lang w:val="en-US"/>
        </w:rPr>
        <w:t>emmeans: Estimated Marginal Means, aka Least-Squares Means</w:t>
      </w:r>
      <w:r w:rsidRPr="00D20A7D">
        <w:rPr>
          <w:rFonts w:ascii="Aptos"/>
          <w:lang w:val="en-US"/>
        </w:rPr>
        <w:t xml:space="preserve"> (Version 2.0.3) [Computer software]. https://cran.r-project.org/web/packages/emmeans/index.html</w:t>
      </w:r>
    </w:p>
    <w:p w14:paraId="23042EAE" w14:textId="77777777" w:rsidR="00D20A7D" w:rsidRPr="00D20A7D" w:rsidRDefault="00D20A7D" w:rsidP="00D20A7D">
      <w:pPr>
        <w:pStyle w:val="Bibliographie"/>
        <w:rPr>
          <w:rFonts w:ascii="Aptos"/>
          <w:lang w:val="en-US"/>
        </w:rPr>
      </w:pPr>
      <w:r w:rsidRPr="00D20A7D">
        <w:rPr>
          <w:rFonts w:ascii="Aptos"/>
          <w:lang w:val="en-US"/>
        </w:rPr>
        <w:lastRenderedPageBreak/>
        <w:t xml:space="preserve">Lesser, M. P. (2021). Eutrophication on Coral Reefs: What Is the Evidence for Phase Shifts, Nutrient Limitation and Coral Bleaching. </w:t>
      </w:r>
      <w:r w:rsidRPr="00D20A7D">
        <w:rPr>
          <w:rFonts w:ascii="Aptos"/>
          <w:i/>
          <w:iCs/>
          <w:lang w:val="en-US"/>
        </w:rPr>
        <w:t>BioScience</w:t>
      </w:r>
      <w:r w:rsidRPr="00D20A7D">
        <w:rPr>
          <w:rFonts w:ascii="Aptos"/>
          <w:lang w:val="en-US"/>
        </w:rPr>
        <w:t xml:space="preserve">, </w:t>
      </w:r>
      <w:r w:rsidRPr="00D20A7D">
        <w:rPr>
          <w:rFonts w:ascii="Aptos"/>
          <w:i/>
          <w:iCs/>
          <w:lang w:val="en-US"/>
        </w:rPr>
        <w:t>71</w:t>
      </w:r>
      <w:r w:rsidRPr="00D20A7D">
        <w:rPr>
          <w:rFonts w:ascii="Aptos"/>
          <w:lang w:val="en-US"/>
        </w:rPr>
        <w:t>(12), 1216–1233. https://doi.org/10.1093/biosci/biab101</w:t>
      </w:r>
    </w:p>
    <w:p w14:paraId="727F8680" w14:textId="77777777" w:rsidR="00D20A7D" w:rsidRPr="00D20A7D" w:rsidRDefault="00D20A7D" w:rsidP="00D20A7D">
      <w:pPr>
        <w:pStyle w:val="Bibliographie"/>
        <w:rPr>
          <w:rFonts w:ascii="Aptos"/>
          <w:lang w:val="en-US"/>
        </w:rPr>
      </w:pPr>
      <w:r w:rsidRPr="00D20A7D">
        <w:rPr>
          <w:rFonts w:ascii="Aptos"/>
          <w:lang w:val="en-US"/>
        </w:rPr>
        <w:t xml:space="preserve">McCook, L. J. (1999). Macroalgae, nutrients and phase shifts on coral reefs: Scientific issues and management consequences for the Great Barrier Reef. </w:t>
      </w:r>
      <w:r w:rsidRPr="00D20A7D">
        <w:rPr>
          <w:rFonts w:ascii="Aptos"/>
          <w:i/>
          <w:iCs/>
          <w:lang w:val="en-US"/>
        </w:rPr>
        <w:t>Coral Reefs</w:t>
      </w:r>
      <w:r w:rsidRPr="00D20A7D">
        <w:rPr>
          <w:rFonts w:ascii="Aptos"/>
          <w:lang w:val="en-US"/>
        </w:rPr>
        <w:t xml:space="preserve">, </w:t>
      </w:r>
      <w:r w:rsidRPr="00D20A7D">
        <w:rPr>
          <w:rFonts w:ascii="Aptos"/>
          <w:i/>
          <w:iCs/>
          <w:lang w:val="en-US"/>
        </w:rPr>
        <w:t>18</w:t>
      </w:r>
      <w:r w:rsidRPr="00D20A7D">
        <w:rPr>
          <w:rFonts w:ascii="Aptos"/>
          <w:lang w:val="en-US"/>
        </w:rPr>
        <w:t>(4), 357–367. https://doi.org/10.1007/s003380050213</w:t>
      </w:r>
    </w:p>
    <w:p w14:paraId="2157CCAB" w14:textId="77777777" w:rsidR="00D20A7D" w:rsidRPr="00D20A7D" w:rsidRDefault="00D20A7D" w:rsidP="00D20A7D">
      <w:pPr>
        <w:pStyle w:val="Bibliographie"/>
        <w:rPr>
          <w:rFonts w:ascii="Aptos"/>
          <w:lang w:val="en-US"/>
        </w:rPr>
      </w:pPr>
      <w:r w:rsidRPr="00D20A7D">
        <w:rPr>
          <w:rFonts w:ascii="Aptos"/>
          <w:lang w:val="en-US"/>
        </w:rPr>
        <w:t xml:space="preserve">McKnight, D. M., Boyer, E. W., Westerhoff, P. K., Doran, P. T., Kulbe, T., &amp; Andersen, D. T. (2001). Spectrofluorometric characterization of dissolved organic matter for indication of precursor organic material and aromaticity.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46</w:t>
      </w:r>
      <w:r w:rsidRPr="00D20A7D">
        <w:rPr>
          <w:rFonts w:ascii="Aptos"/>
          <w:lang w:val="en-US"/>
        </w:rPr>
        <w:t>(1), 38–48. https://doi.org/10.4319/lo.2001.46.1.0038</w:t>
      </w:r>
    </w:p>
    <w:p w14:paraId="405392D0" w14:textId="77777777" w:rsidR="00D20A7D" w:rsidRPr="00D20A7D" w:rsidRDefault="00D20A7D" w:rsidP="00D20A7D">
      <w:pPr>
        <w:pStyle w:val="Bibliographie"/>
        <w:rPr>
          <w:rFonts w:ascii="Aptos"/>
          <w:lang w:val="en-US"/>
        </w:rPr>
      </w:pPr>
      <w:r w:rsidRPr="00D20A7D">
        <w:rPr>
          <w:rFonts w:ascii="Aptos"/>
          <w:lang w:val="en-US"/>
        </w:rPr>
        <w:t xml:space="preserve">Montaño-Salazar, S., Quintanilla, E., &amp; Sánchez, J. A. (2023). Microbial shifts associated to ENSO-derived thermal anomalies reveal coral acclimation at holobiont level. </w:t>
      </w:r>
      <w:r w:rsidRPr="00D20A7D">
        <w:rPr>
          <w:rFonts w:ascii="Aptos"/>
          <w:i/>
          <w:iCs/>
          <w:lang w:val="en-US"/>
        </w:rPr>
        <w:t>Scientific Reports</w:t>
      </w:r>
      <w:r w:rsidRPr="00D20A7D">
        <w:rPr>
          <w:rFonts w:ascii="Aptos"/>
          <w:lang w:val="en-US"/>
        </w:rPr>
        <w:t xml:space="preserve">, </w:t>
      </w:r>
      <w:r w:rsidRPr="00D20A7D">
        <w:rPr>
          <w:rFonts w:ascii="Aptos"/>
          <w:i/>
          <w:iCs/>
          <w:lang w:val="en-US"/>
        </w:rPr>
        <w:t>13</w:t>
      </w:r>
      <w:r w:rsidRPr="00D20A7D">
        <w:rPr>
          <w:rFonts w:ascii="Aptos"/>
          <w:lang w:val="en-US"/>
        </w:rPr>
        <w:t>(1), 22049. https://doi.org/10.1038/s41598-023-49049-6</w:t>
      </w:r>
    </w:p>
    <w:p w14:paraId="61341578" w14:textId="77777777" w:rsidR="00D20A7D" w:rsidRPr="00D20A7D" w:rsidRDefault="00D20A7D" w:rsidP="00D20A7D">
      <w:pPr>
        <w:pStyle w:val="Bibliographie"/>
        <w:rPr>
          <w:rFonts w:ascii="Aptos"/>
          <w:lang w:val="en-US"/>
        </w:rPr>
      </w:pPr>
      <w:r w:rsidRPr="00D20A7D">
        <w:rPr>
          <w:rFonts w:ascii="Aptos"/>
          <w:lang w:val="en-US"/>
        </w:rPr>
        <w:t xml:space="preserve">Morrow, K. M., Ritson-Williams, R., Ross, C., Liles, M. R., &amp; Paul, V. J. (2012). Macroalgal Extracts Induce Bacterial Assemblage Shifts and Sublethal Tissue Stress in Caribbean Corals.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(9), e44859. https://doi.org/10.1371/journal.pone.0044859</w:t>
      </w:r>
    </w:p>
    <w:p w14:paraId="2628899E" w14:textId="77777777" w:rsidR="00D20A7D" w:rsidRPr="00D20A7D" w:rsidRDefault="00D20A7D" w:rsidP="00D20A7D">
      <w:pPr>
        <w:pStyle w:val="Bibliographie"/>
        <w:rPr>
          <w:rFonts w:ascii="Aptos"/>
          <w:lang w:val="en-US"/>
        </w:rPr>
      </w:pPr>
      <w:r w:rsidRPr="00D20A7D">
        <w:rPr>
          <w:rFonts w:ascii="Aptos"/>
          <w:lang w:val="en-US"/>
        </w:rPr>
        <w:t xml:space="preserve">Mueller, B., Brocke, H. J., Rohwer, F. L., Dittmar, T., Huisman, J., Vermeij, M. J. A., &amp; de Goeij, J. M. (2022). Nocturnal dissolved organic matter release by turf algae and its role in the microbialization of reefs. </w:t>
      </w:r>
      <w:r w:rsidRPr="00D20A7D">
        <w:rPr>
          <w:rFonts w:ascii="Aptos"/>
          <w:i/>
          <w:iCs/>
          <w:lang w:val="en-US"/>
        </w:rPr>
        <w:t>Functional Ecology</w:t>
      </w:r>
      <w:r w:rsidRPr="00D20A7D">
        <w:rPr>
          <w:rFonts w:ascii="Aptos"/>
          <w:lang w:val="en-US"/>
        </w:rPr>
        <w:t xml:space="preserve">, </w:t>
      </w:r>
      <w:r w:rsidRPr="00D20A7D">
        <w:rPr>
          <w:rFonts w:ascii="Aptos"/>
          <w:i/>
          <w:iCs/>
          <w:lang w:val="en-US"/>
        </w:rPr>
        <w:t>36</w:t>
      </w:r>
      <w:r w:rsidRPr="00D20A7D">
        <w:rPr>
          <w:rFonts w:ascii="Aptos"/>
          <w:lang w:val="en-US"/>
        </w:rPr>
        <w:t>(8), 2104–2118. https://doi.org/10.1111/1365-2435.14101</w:t>
      </w:r>
    </w:p>
    <w:p w14:paraId="7C3430E3" w14:textId="77777777" w:rsidR="00D20A7D" w:rsidRPr="00D20A7D" w:rsidRDefault="00D20A7D" w:rsidP="00D20A7D">
      <w:pPr>
        <w:pStyle w:val="Bibliographie"/>
        <w:rPr>
          <w:rFonts w:ascii="Aptos"/>
          <w:lang w:val="en-US"/>
        </w:rPr>
      </w:pPr>
      <w:r w:rsidRPr="00D20A7D">
        <w:rPr>
          <w:rFonts w:ascii="Aptos"/>
          <w:lang w:val="en-US"/>
        </w:rPr>
        <w:lastRenderedPageBreak/>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D20A7D">
        <w:rPr>
          <w:rFonts w:ascii="Aptos"/>
          <w:i/>
          <w:iCs/>
          <w:lang w:val="en-US"/>
        </w:rPr>
        <w:t>Marine Chemistry</w:t>
      </w:r>
      <w:r w:rsidRPr="00D20A7D">
        <w:rPr>
          <w:rFonts w:ascii="Aptos"/>
          <w:lang w:val="en-US"/>
        </w:rPr>
        <w:t xml:space="preserve">, </w:t>
      </w:r>
      <w:r w:rsidRPr="00D20A7D">
        <w:rPr>
          <w:rFonts w:ascii="Aptos"/>
          <w:i/>
          <w:iCs/>
          <w:lang w:val="en-US"/>
        </w:rPr>
        <w:t>177</w:t>
      </w:r>
      <w:r w:rsidRPr="00D20A7D">
        <w:rPr>
          <w:rFonts w:ascii="Aptos"/>
          <w:lang w:val="en-US"/>
        </w:rPr>
        <w:t>, 232–243. https://doi.org/10.1016/j.marchem.2015.06.026</w:t>
      </w:r>
    </w:p>
    <w:p w14:paraId="79446108" w14:textId="77777777" w:rsidR="00D20A7D" w:rsidRPr="00D20A7D" w:rsidRDefault="00D20A7D" w:rsidP="00D20A7D">
      <w:pPr>
        <w:pStyle w:val="Bibliographie"/>
        <w:rPr>
          <w:rFonts w:ascii="Aptos"/>
          <w:lang w:val="en-US"/>
        </w:rPr>
      </w:pPr>
      <w:r w:rsidRPr="00D20A7D">
        <w:rPr>
          <w:rFonts w:ascii="Aptos"/>
          <w:lang w:val="en-US"/>
        </w:rPr>
        <w:t xml:space="preserve">Nelson, C. E., Goldberg, S. J., Wegley Kelly, L., Haas, A. F., Smith, J. E., Rohwer, F., &amp; Carlson, C. A. (2013). Coral and macroalgal exudates vary in neutral sugar composition and differentially enrich reef bacterioplankton lineages. </w:t>
      </w:r>
      <w:r w:rsidRPr="00D20A7D">
        <w:rPr>
          <w:rFonts w:ascii="Aptos"/>
          <w:i/>
          <w:iCs/>
          <w:lang w:val="en-US"/>
        </w:rPr>
        <w:t>The ISME Journal</w:t>
      </w:r>
      <w:r w:rsidRPr="00D20A7D">
        <w:rPr>
          <w:rFonts w:ascii="Aptos"/>
          <w:lang w:val="en-US"/>
        </w:rPr>
        <w:t xml:space="preserve">, </w:t>
      </w:r>
      <w:r w:rsidRPr="00D20A7D">
        <w:rPr>
          <w:rFonts w:ascii="Aptos"/>
          <w:i/>
          <w:iCs/>
          <w:lang w:val="en-US"/>
        </w:rPr>
        <w:t>7</w:t>
      </w:r>
      <w:r w:rsidRPr="00D20A7D">
        <w:rPr>
          <w:rFonts w:ascii="Aptos"/>
          <w:lang w:val="en-US"/>
        </w:rPr>
        <w:t>(5), 962–979. https://doi.org/10.1038/ismej.2012.161</w:t>
      </w:r>
    </w:p>
    <w:p w14:paraId="4F4B77C0" w14:textId="77777777" w:rsidR="00D20A7D" w:rsidRPr="00D20A7D" w:rsidRDefault="00D20A7D" w:rsidP="00D20A7D">
      <w:pPr>
        <w:pStyle w:val="Bibliographie"/>
        <w:rPr>
          <w:rFonts w:ascii="Aptos"/>
          <w:lang w:val="en-US"/>
        </w:rPr>
      </w:pPr>
      <w:r w:rsidRPr="00D20A7D">
        <w:rPr>
          <w:rFonts w:ascii="Aptos"/>
          <w:lang w:val="en-US"/>
        </w:rPr>
        <w:t xml:space="preserve">Nelson, C. E., Wegley Kelly, L., &amp; Haas, A. F. (2023). Microbial Interactions with Dissolved Organic Matter Are Central to Coral Reef Ecosystem Function and Resilience. </w:t>
      </w:r>
      <w:r w:rsidRPr="00D20A7D">
        <w:rPr>
          <w:rFonts w:ascii="Aptos"/>
          <w:i/>
          <w:iCs/>
          <w:lang w:val="en-US"/>
        </w:rPr>
        <w:t>Annual Review of Marine Science</w:t>
      </w:r>
      <w:r w:rsidRPr="00D20A7D">
        <w:rPr>
          <w:rFonts w:ascii="Aptos"/>
          <w:lang w:val="en-US"/>
        </w:rPr>
        <w:t xml:space="preserve">, </w:t>
      </w:r>
      <w:r w:rsidRPr="00D20A7D">
        <w:rPr>
          <w:rFonts w:ascii="Aptos"/>
          <w:i/>
          <w:iCs/>
          <w:lang w:val="en-US"/>
        </w:rPr>
        <w:t>15</w:t>
      </w:r>
      <w:r w:rsidRPr="00D20A7D">
        <w:rPr>
          <w:rFonts w:ascii="Aptos"/>
          <w:lang w:val="en-US"/>
        </w:rPr>
        <w:t>(1), 431–460. https://doi.org/10.1146/annurev-marine-042121-080917</w:t>
      </w:r>
    </w:p>
    <w:p w14:paraId="1D3DE6BB" w14:textId="77777777" w:rsidR="00D20A7D" w:rsidRPr="00D20A7D" w:rsidRDefault="00D20A7D" w:rsidP="00D20A7D">
      <w:pPr>
        <w:pStyle w:val="Bibliographie"/>
        <w:rPr>
          <w:rFonts w:ascii="Aptos"/>
          <w:lang w:val="en-US"/>
        </w:rPr>
      </w:pPr>
      <w:r w:rsidRPr="00D20A7D">
        <w:rPr>
          <w:rFonts w:ascii="Aptos"/>
          <w:lang w:val="en-US"/>
        </w:rPr>
        <w:t xml:space="preserve">Oksanen, J., Simpson, G. L., Blanchet, F. G., Kindt, R., Legendre, P., Minchin, P. R., O’Hara, R. B., Solymos, P., Stevens, M. H. H., Szoecs, E., Wagner, H., Barbour, M., Bedward, M., Bolker, B., Borcard, D., Borman, T., Carvalho, G., Chirico, M., Caceres, M. D., … Weedon, J. (2026). </w:t>
      </w:r>
      <w:r w:rsidRPr="00D20A7D">
        <w:rPr>
          <w:rFonts w:ascii="Aptos"/>
          <w:i/>
          <w:iCs/>
          <w:lang w:val="en-US"/>
        </w:rPr>
        <w:t>vegan: Community Ecology Package</w:t>
      </w:r>
      <w:r w:rsidRPr="00D20A7D">
        <w:rPr>
          <w:rFonts w:ascii="Aptos"/>
          <w:lang w:val="en-US"/>
        </w:rPr>
        <w:t xml:space="preserve"> (Version 2.7-3) [Computer software]. https://cran.r-project.org/web/packages/vegan/index.html</w:t>
      </w:r>
    </w:p>
    <w:p w14:paraId="6AC94F93" w14:textId="77777777" w:rsidR="00D20A7D" w:rsidRPr="00D20A7D" w:rsidRDefault="00D20A7D" w:rsidP="00D20A7D">
      <w:pPr>
        <w:pStyle w:val="Bibliographie"/>
        <w:rPr>
          <w:rFonts w:ascii="Aptos"/>
          <w:lang w:val="en-US"/>
        </w:rPr>
      </w:pPr>
      <w:r w:rsidRPr="00D20A7D">
        <w:rPr>
          <w:rFonts w:ascii="Aptos"/>
          <w:lang w:val="en-US"/>
        </w:rPr>
        <w:t xml:space="preserve">Palmer, C. V., Rodríguez Esquivel, S. V., &amp; Parker, C. M. (2025). El Niño-driven phase shift to algal dominance on Isla del Caño’s coral reefs: Implications for urgent restoration. </w:t>
      </w:r>
      <w:r w:rsidRPr="00D20A7D">
        <w:rPr>
          <w:rFonts w:ascii="Aptos"/>
          <w:i/>
          <w:iCs/>
          <w:lang w:val="en-US"/>
        </w:rPr>
        <w:t>PeerJ</w:t>
      </w:r>
      <w:r w:rsidRPr="00D20A7D">
        <w:rPr>
          <w:rFonts w:ascii="Aptos"/>
          <w:lang w:val="en-US"/>
        </w:rPr>
        <w:t xml:space="preserve">, </w:t>
      </w:r>
      <w:r w:rsidRPr="00D20A7D">
        <w:rPr>
          <w:rFonts w:ascii="Aptos"/>
          <w:i/>
          <w:iCs/>
          <w:lang w:val="en-US"/>
        </w:rPr>
        <w:t>13</w:t>
      </w:r>
      <w:r w:rsidRPr="00D20A7D">
        <w:rPr>
          <w:rFonts w:ascii="Aptos"/>
          <w:lang w:val="en-US"/>
        </w:rPr>
        <w:t>, e20088. https://doi.org/10.7717/peerj.20088</w:t>
      </w:r>
    </w:p>
    <w:p w14:paraId="47FEAAB8" w14:textId="77777777" w:rsidR="00D20A7D" w:rsidRPr="00D20A7D" w:rsidRDefault="00D20A7D" w:rsidP="00D20A7D">
      <w:pPr>
        <w:pStyle w:val="Bibliographie"/>
        <w:rPr>
          <w:rFonts w:ascii="Aptos"/>
          <w:lang w:val="en-US"/>
        </w:rPr>
      </w:pPr>
      <w:r w:rsidRPr="00D20A7D">
        <w:rPr>
          <w:rFonts w:ascii="Aptos"/>
          <w:lang w:val="en-US"/>
        </w:rPr>
        <w:lastRenderedPageBreak/>
        <w:t xml:space="preserve">Pedersen, T. L. (2025). </w:t>
      </w:r>
      <w:r w:rsidRPr="00D20A7D">
        <w:rPr>
          <w:rFonts w:ascii="Aptos"/>
          <w:i/>
          <w:iCs/>
          <w:lang w:val="en-US"/>
        </w:rPr>
        <w:t>patchwork: The composer of plots</w:t>
      </w:r>
      <w:r w:rsidRPr="00D20A7D">
        <w:rPr>
          <w:rFonts w:ascii="Aptos"/>
          <w:lang w:val="en-US"/>
        </w:rPr>
        <w:t xml:space="preserve"> [Manual]. https://doi.org/10.32614/CRAN.package.patchwork</w:t>
      </w:r>
    </w:p>
    <w:p w14:paraId="0FE8397A" w14:textId="77777777" w:rsidR="00D20A7D" w:rsidRPr="00D20A7D" w:rsidRDefault="00D20A7D" w:rsidP="00D20A7D">
      <w:pPr>
        <w:pStyle w:val="Bibliographie"/>
        <w:rPr>
          <w:rFonts w:ascii="Aptos"/>
          <w:lang w:val="en-US"/>
        </w:rPr>
      </w:pPr>
      <w:r w:rsidRPr="00D20A7D">
        <w:rPr>
          <w:rFonts w:ascii="Aptos"/>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27</w:t>
      </w:r>
      <w:r w:rsidRPr="00D20A7D">
        <w:rPr>
          <w:rFonts w:ascii="Aptos"/>
          <w:lang w:val="en-US"/>
        </w:rPr>
        <w:t>(3), e70064. https://doi.org/10.1111/1462-2920.70064</w:t>
      </w:r>
    </w:p>
    <w:p w14:paraId="5AF1AE9F" w14:textId="77777777" w:rsidR="00D20A7D" w:rsidRPr="00D20A7D" w:rsidRDefault="00D20A7D" w:rsidP="00D20A7D">
      <w:pPr>
        <w:pStyle w:val="Bibliographie"/>
        <w:rPr>
          <w:rFonts w:ascii="Aptos"/>
          <w:lang w:val="en-US"/>
        </w:rPr>
      </w:pPr>
      <w:r w:rsidRPr="00D20A7D">
        <w:rPr>
          <w:rFonts w:ascii="Aptos"/>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3</w:t>
      </w:r>
      <w:r w:rsidRPr="00D20A7D">
        <w:rPr>
          <w:rFonts w:ascii="Aptos"/>
          <w:lang w:val="en-US"/>
        </w:rPr>
        <w:t>(4), 331–340. https://doi.org/10.1002/lol2.10074</w:t>
      </w:r>
    </w:p>
    <w:p w14:paraId="04C4F789" w14:textId="77777777" w:rsidR="00D20A7D" w:rsidRPr="00D20A7D" w:rsidRDefault="00D20A7D" w:rsidP="00D20A7D">
      <w:pPr>
        <w:pStyle w:val="Bibliographie"/>
        <w:rPr>
          <w:rFonts w:ascii="Aptos"/>
          <w:lang w:val="en-US"/>
        </w:rPr>
      </w:pPr>
      <w:r w:rsidRPr="00D20A7D">
        <w:rPr>
          <w:rFonts w:ascii="Aptos"/>
          <w:lang w:val="en-US"/>
        </w:rPr>
        <w:t xml:space="preserve">Rasher, D. B., &amp; Hay, M. E. (2010). Chemically rich seaweeds poison corals when not controlled by herbivores.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107</w:t>
      </w:r>
      <w:r w:rsidRPr="00D20A7D">
        <w:rPr>
          <w:rFonts w:ascii="Aptos"/>
          <w:lang w:val="en-US"/>
        </w:rPr>
        <w:t>(21), 9683–9688. https://doi.org/10.1073/pnas.0912095107</w:t>
      </w:r>
    </w:p>
    <w:p w14:paraId="1358FA38" w14:textId="77777777" w:rsidR="00D20A7D" w:rsidRPr="00D20A7D" w:rsidRDefault="00D20A7D" w:rsidP="00D20A7D">
      <w:pPr>
        <w:pStyle w:val="Bibliographie"/>
        <w:rPr>
          <w:rFonts w:ascii="Aptos"/>
          <w:lang w:val="en-US"/>
        </w:rPr>
      </w:pPr>
      <w:r w:rsidRPr="00D20A7D">
        <w:rPr>
          <w:rFonts w:ascii="Aptos"/>
          <w:lang w:val="fr-FR"/>
        </w:rPr>
        <w:t xml:space="preserve">Rognes, T., Flouri, T., Nichols, B., Quince, C., &amp; Mahé, F. (2016). </w:t>
      </w:r>
      <w:r w:rsidRPr="00D20A7D">
        <w:rPr>
          <w:rFonts w:ascii="Aptos"/>
          <w:lang w:val="en-US"/>
        </w:rPr>
        <w:t xml:space="preserve">VSEARCH: A versatile open source tool for metagenomics. </w:t>
      </w:r>
      <w:r w:rsidRPr="00D20A7D">
        <w:rPr>
          <w:rFonts w:ascii="Aptos"/>
          <w:i/>
          <w:iCs/>
          <w:lang w:val="en-US"/>
        </w:rPr>
        <w:t>PeerJ</w:t>
      </w:r>
      <w:r w:rsidRPr="00D20A7D">
        <w:rPr>
          <w:rFonts w:ascii="Aptos"/>
          <w:lang w:val="en-US"/>
        </w:rPr>
        <w:t xml:space="preserve">, </w:t>
      </w:r>
      <w:r w:rsidRPr="00D20A7D">
        <w:rPr>
          <w:rFonts w:ascii="Aptos"/>
          <w:i/>
          <w:iCs/>
          <w:lang w:val="en-US"/>
        </w:rPr>
        <w:t>4</w:t>
      </w:r>
      <w:r w:rsidRPr="00D20A7D">
        <w:rPr>
          <w:rFonts w:ascii="Aptos"/>
          <w:lang w:val="en-US"/>
        </w:rPr>
        <w:t>, e2584. https://doi.org/10.7717/peerj.2584</w:t>
      </w:r>
    </w:p>
    <w:p w14:paraId="5783F9B4" w14:textId="77777777" w:rsidR="00D20A7D" w:rsidRPr="00D20A7D" w:rsidRDefault="00D20A7D" w:rsidP="00D20A7D">
      <w:pPr>
        <w:pStyle w:val="Bibliographie"/>
        <w:rPr>
          <w:rFonts w:ascii="Aptos"/>
          <w:lang w:val="en-US"/>
        </w:rPr>
      </w:pPr>
      <w:r w:rsidRPr="00D20A7D">
        <w:rPr>
          <w:rFonts w:ascii="Aptos"/>
          <w:lang w:val="en-US"/>
        </w:rPr>
        <w:t xml:space="preserve">RStudio Team. (2022). </w:t>
      </w:r>
      <w:r w:rsidRPr="00D20A7D">
        <w:rPr>
          <w:rFonts w:ascii="Aptos"/>
          <w:i/>
          <w:iCs/>
          <w:lang w:val="en-US"/>
        </w:rPr>
        <w:t>RStudio: Integrated Development Environment for R</w:t>
      </w:r>
      <w:r w:rsidRPr="00D20A7D">
        <w:rPr>
          <w:rFonts w:ascii="Aptos"/>
          <w:lang w:val="en-US"/>
        </w:rPr>
        <w:t xml:space="preserve"> [Computer software]. RStudio, PBC. http://www.rstudio.com/</w:t>
      </w:r>
    </w:p>
    <w:p w14:paraId="7D0F538A" w14:textId="77777777" w:rsidR="00D20A7D" w:rsidRPr="00D20A7D" w:rsidRDefault="00D20A7D" w:rsidP="00D20A7D">
      <w:pPr>
        <w:pStyle w:val="Bibliographie"/>
        <w:rPr>
          <w:rFonts w:ascii="Aptos"/>
          <w:lang w:val="en-US"/>
        </w:rPr>
      </w:pPr>
      <w:r w:rsidRPr="00D20A7D">
        <w:rPr>
          <w:rFonts w:ascii="Aptos"/>
          <w:lang w:val="en-US"/>
        </w:rPr>
        <w:t>Schloss, P. D., Westcott, S. L., Ryabin, T., Hall, J. R., Hartmann, M., Hollister, E. B., Lesniewski, R. A., Oakley, B. B., Parks, D. H., Robinson, C. J., Sahl, J. W., Stres, B., Thallinger, G. G., Van Horn, D. J., &amp; Weber, C. F. (2009). Introducing mothur: Open-</w:t>
      </w:r>
      <w:r w:rsidRPr="00D20A7D">
        <w:rPr>
          <w:rFonts w:ascii="Aptos"/>
          <w:lang w:val="en-US"/>
        </w:rPr>
        <w:lastRenderedPageBreak/>
        <w:t xml:space="preserve">Source, Platform-Independent, Community-Supported Software for Describing and Comparing Microbial Communities.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75</w:t>
      </w:r>
      <w:r w:rsidRPr="00D20A7D">
        <w:rPr>
          <w:rFonts w:ascii="Aptos"/>
          <w:lang w:val="en-US"/>
        </w:rPr>
        <w:t>(23), 7537–7541. https://doi.org/10.1128/AEM.01541-09</w:t>
      </w:r>
    </w:p>
    <w:p w14:paraId="5004DD94" w14:textId="77777777" w:rsidR="00D20A7D" w:rsidRPr="00D20A7D" w:rsidRDefault="00D20A7D" w:rsidP="00D20A7D">
      <w:pPr>
        <w:pStyle w:val="Bibliographie"/>
        <w:rPr>
          <w:rFonts w:ascii="Aptos"/>
          <w:lang w:val="en-US"/>
        </w:rPr>
      </w:pPr>
      <w:r w:rsidRPr="00D20A7D">
        <w:rPr>
          <w:rFonts w:ascii="Aptos"/>
          <w:lang w:val="en-US"/>
        </w:rPr>
        <w:t xml:space="preserve">Schmitt, R. J., Holbrook, S. J., Davis, S. L., Brooks, A. J., &amp; Adam, T. C. (2019). Experimental support for alternative attractors on coral reefs.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116</w:t>
      </w:r>
      <w:r w:rsidRPr="00D20A7D">
        <w:rPr>
          <w:rFonts w:ascii="Aptos"/>
          <w:lang w:val="en-US"/>
        </w:rPr>
        <w:t>(10), 4372–4381. https://doi.org/10.1073/pnas.1812412116</w:t>
      </w:r>
    </w:p>
    <w:p w14:paraId="65B547C3" w14:textId="77777777" w:rsidR="00D20A7D" w:rsidRPr="00D20A7D" w:rsidRDefault="00D20A7D" w:rsidP="00D20A7D">
      <w:pPr>
        <w:pStyle w:val="Bibliographie"/>
        <w:rPr>
          <w:rFonts w:ascii="Aptos"/>
          <w:lang w:val="en-US"/>
        </w:rPr>
      </w:pPr>
      <w:r w:rsidRPr="00D20A7D">
        <w:rPr>
          <w:rFonts w:ascii="Aptos"/>
          <w:lang w:val="en-US"/>
        </w:rPr>
        <w:t xml:space="preserve">Selph, K. E. (2021). Enumeration of marine microbial organisms by flow cytometry using near-UV excitation of Hoechst 34580-stained DNA.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19</w:t>
      </w:r>
      <w:r w:rsidRPr="00D20A7D">
        <w:rPr>
          <w:rFonts w:ascii="Aptos"/>
          <w:lang w:val="en-US"/>
        </w:rPr>
        <w:t>(10), 692–701. https://doi.org/10.1002/lom3.10454</w:t>
      </w:r>
    </w:p>
    <w:p w14:paraId="768EEB3D" w14:textId="77777777" w:rsidR="00D20A7D" w:rsidRPr="00D20A7D" w:rsidRDefault="00D20A7D" w:rsidP="00D20A7D">
      <w:pPr>
        <w:pStyle w:val="Bibliographie"/>
        <w:rPr>
          <w:rFonts w:ascii="Aptos"/>
          <w:lang w:val="en-US"/>
        </w:rPr>
      </w:pPr>
      <w:r w:rsidRPr="00D20A7D">
        <w:rPr>
          <w:rFonts w:ascii="Aptos"/>
          <w:lang w:val="en-US"/>
        </w:rPr>
        <w:t xml:space="preserve">Silbiger, N. J., Donahue, M. J., Hagedorn, B., Barnas, D. M., Jorissen, H., Kerlin, J. R., McClintock, R., Nixon, E., Sparagon, W. J., Zeff, M., &amp; Nelson, C. E. (2025). Terrestrial nutrient inputs restructure coral reef dissolved carbon fluxes via direct and indirect effects. </w:t>
      </w:r>
      <w:r w:rsidRPr="00D20A7D">
        <w:rPr>
          <w:rFonts w:ascii="Aptos"/>
          <w:i/>
          <w:iCs/>
          <w:lang w:val="en-US"/>
        </w:rPr>
        <w:t>Ecological Monographs</w:t>
      </w:r>
      <w:r w:rsidRPr="00D20A7D">
        <w:rPr>
          <w:rFonts w:ascii="Aptos"/>
          <w:lang w:val="en-US"/>
        </w:rPr>
        <w:t xml:space="preserve">, </w:t>
      </w:r>
      <w:r w:rsidRPr="00D20A7D">
        <w:rPr>
          <w:rFonts w:ascii="Aptos"/>
          <w:i/>
          <w:iCs/>
          <w:lang w:val="en-US"/>
        </w:rPr>
        <w:t>95</w:t>
      </w:r>
      <w:r w:rsidRPr="00D20A7D">
        <w:rPr>
          <w:rFonts w:ascii="Aptos"/>
          <w:lang w:val="en-US"/>
        </w:rPr>
        <w:t>(2), e70020. https://doi.org/10.1002/ecm.70020</w:t>
      </w:r>
    </w:p>
    <w:p w14:paraId="63E37679" w14:textId="77777777" w:rsidR="00D20A7D" w:rsidRPr="00D20A7D" w:rsidRDefault="00D20A7D" w:rsidP="00D20A7D">
      <w:pPr>
        <w:pStyle w:val="Bibliographie"/>
        <w:rPr>
          <w:rFonts w:ascii="Aptos"/>
          <w:lang w:val="en-US"/>
        </w:rPr>
      </w:pPr>
      <w:r w:rsidRPr="00D20A7D">
        <w:rPr>
          <w:rFonts w:ascii="Aptos"/>
          <w:lang w:val="en-US"/>
        </w:rPr>
        <w:t xml:space="preserve">Silveira, C. B., Cavalcanti, G. S., Walter, J. M., Silva-Lima, A. W., Dinsdale, E. A., Bourne, D. G., Thompson, C. C., &amp; Thompson, F. L. (2017). Microbial processes driving coral reef organic carbon flow. </w:t>
      </w:r>
      <w:r w:rsidRPr="00D20A7D">
        <w:rPr>
          <w:rFonts w:ascii="Aptos"/>
          <w:i/>
          <w:iCs/>
          <w:lang w:val="en-US"/>
        </w:rPr>
        <w:t>FEMS Microbiology Reviews</w:t>
      </w:r>
      <w:r w:rsidRPr="00D20A7D">
        <w:rPr>
          <w:rFonts w:ascii="Aptos"/>
          <w:lang w:val="en-US"/>
        </w:rPr>
        <w:t xml:space="preserve">, </w:t>
      </w:r>
      <w:r w:rsidRPr="00D20A7D">
        <w:rPr>
          <w:rFonts w:ascii="Aptos"/>
          <w:i/>
          <w:iCs/>
          <w:lang w:val="en-US"/>
        </w:rPr>
        <w:t>41</w:t>
      </w:r>
      <w:r w:rsidRPr="00D20A7D">
        <w:rPr>
          <w:rFonts w:ascii="Aptos"/>
          <w:lang w:val="en-US"/>
        </w:rPr>
        <w:t>(4), 575–595. https://doi.org/10.1093/femsre/fux018</w:t>
      </w:r>
    </w:p>
    <w:p w14:paraId="2844EEC7" w14:textId="77777777" w:rsidR="00D20A7D" w:rsidRPr="00D20A7D" w:rsidRDefault="00D20A7D" w:rsidP="00D20A7D">
      <w:pPr>
        <w:pStyle w:val="Bibliographie"/>
        <w:rPr>
          <w:rFonts w:ascii="Aptos"/>
          <w:lang w:val="en-US"/>
        </w:rPr>
      </w:pPr>
      <w:r w:rsidRPr="00D20A7D">
        <w:rPr>
          <w:rFonts w:ascii="Aptos"/>
          <w:lang w:val="fr-FR"/>
        </w:rPr>
        <w:t>Silveira, C. B., Silva</w:t>
      </w:r>
      <w:r w:rsidRPr="00D20A7D">
        <w:rPr>
          <w:rFonts w:ascii="Cambria Math" w:hAnsi="Cambria Math" w:cs="Cambria Math"/>
          <w:lang w:val="fr-FR"/>
        </w:rPr>
        <w:t>‐</w:t>
      </w:r>
      <w:r w:rsidRPr="00D20A7D">
        <w:rPr>
          <w:rFonts w:ascii="Aptos"/>
          <w:lang w:val="fr-FR"/>
        </w:rPr>
        <w:t>Lima, A. W., Francini</w:t>
      </w:r>
      <w:r w:rsidRPr="00D20A7D">
        <w:rPr>
          <w:rFonts w:ascii="Cambria Math" w:hAnsi="Cambria Math" w:cs="Cambria Math"/>
          <w:lang w:val="fr-FR"/>
        </w:rPr>
        <w:t>‐</w:t>
      </w:r>
      <w:r w:rsidRPr="00D20A7D">
        <w:rPr>
          <w:rFonts w:ascii="Aptos"/>
          <w:lang w:val="fr-FR"/>
        </w:rPr>
        <w:t xml:space="preserve">Filho, R. B., Marques, J. S. M., Almeida, M. G., Thompson, C. C., Rezende, C. E., Paranhos, R., Moura, R. L., Salomon, P. S., &amp; Thompson, F. L. (2015). </w:t>
      </w:r>
      <w:r w:rsidRPr="00D20A7D">
        <w:rPr>
          <w:rFonts w:ascii="Aptos"/>
          <w:lang w:val="en-US"/>
        </w:rPr>
        <w:t xml:space="preserve">Microbial and sponge loops modify fish production in </w:t>
      </w:r>
      <w:r w:rsidRPr="00D20A7D">
        <w:rPr>
          <w:rFonts w:ascii="Aptos"/>
          <w:lang w:val="en-US"/>
        </w:rPr>
        <w:lastRenderedPageBreak/>
        <w:t>phase</w:t>
      </w:r>
      <w:r w:rsidRPr="00D20A7D">
        <w:rPr>
          <w:rFonts w:ascii="Cambria Math" w:hAnsi="Cambria Math" w:cs="Cambria Math"/>
          <w:lang w:val="en-US"/>
        </w:rPr>
        <w:t>‐</w:t>
      </w:r>
      <w:r w:rsidRPr="00D20A7D">
        <w:rPr>
          <w:rFonts w:ascii="Aptos"/>
          <w:lang w:val="en-US"/>
        </w:rPr>
        <w:t xml:space="preserve">shifting coral reefs.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17</w:t>
      </w:r>
      <w:r w:rsidRPr="00D20A7D">
        <w:rPr>
          <w:rFonts w:ascii="Aptos"/>
          <w:lang w:val="en-US"/>
        </w:rPr>
        <w:t>(10), 3832–3846. https://doi.org/10.1111/1462-2920.12851</w:t>
      </w:r>
    </w:p>
    <w:p w14:paraId="77891491" w14:textId="77777777" w:rsidR="00D20A7D" w:rsidRPr="00D20A7D" w:rsidRDefault="00D20A7D" w:rsidP="00D20A7D">
      <w:pPr>
        <w:pStyle w:val="Bibliographie"/>
        <w:rPr>
          <w:rFonts w:ascii="Aptos"/>
          <w:lang w:val="en-US"/>
        </w:rPr>
      </w:pPr>
      <w:r w:rsidRPr="00D20A7D">
        <w:rPr>
          <w:rFonts w:ascii="Aptos"/>
          <w:lang w:val="en-US"/>
        </w:rPr>
        <w:t xml:space="preserve">Smith, J., Shaw, M., Edwards, R., Obura, D., Pantos, O., Sala, E., Sandin, S., Smriga, S., Hatay, M., &amp; Rohwer, F. (2006). Indirect effects of algae on coral: Algae-mediated, microbe-induced coral mortality. </w:t>
      </w:r>
      <w:r w:rsidRPr="00D20A7D">
        <w:rPr>
          <w:rFonts w:ascii="Aptos"/>
          <w:i/>
          <w:iCs/>
          <w:lang w:val="en-US"/>
        </w:rPr>
        <w:t>Ecology Letters</w:t>
      </w:r>
      <w:r w:rsidRPr="00D20A7D">
        <w:rPr>
          <w:rFonts w:ascii="Aptos"/>
          <w:lang w:val="en-US"/>
        </w:rPr>
        <w:t xml:space="preserve">, </w:t>
      </w:r>
      <w:r w:rsidRPr="00D20A7D">
        <w:rPr>
          <w:rFonts w:ascii="Aptos"/>
          <w:i/>
          <w:iCs/>
          <w:lang w:val="en-US"/>
        </w:rPr>
        <w:t>9</w:t>
      </w:r>
      <w:r w:rsidRPr="00D20A7D">
        <w:rPr>
          <w:rFonts w:ascii="Aptos"/>
          <w:lang w:val="en-US"/>
        </w:rPr>
        <w:t>, 835–845. https://doi.org/10.1111/j.1461-0248.2006.00937.x</w:t>
      </w:r>
    </w:p>
    <w:p w14:paraId="60E6FB6E" w14:textId="77777777" w:rsidR="00D20A7D" w:rsidRPr="00D20A7D" w:rsidRDefault="00D20A7D" w:rsidP="00D20A7D">
      <w:pPr>
        <w:pStyle w:val="Bibliographie"/>
        <w:rPr>
          <w:rFonts w:ascii="Aptos"/>
          <w:lang w:val="en-US"/>
        </w:rPr>
      </w:pPr>
      <w:r w:rsidRPr="00D20A7D">
        <w:rPr>
          <w:rFonts w:ascii="Aptos"/>
          <w:lang w:val="en-US"/>
        </w:rPr>
        <w:t xml:space="preserve">Smith, J., Smith, C., &amp; Hunter, C. (2001). An experimental analysis of the effects of herbivory and nutrient enrichment on benthic community dynamics on a Hawaiian reef. </w:t>
      </w:r>
      <w:r w:rsidRPr="00D20A7D">
        <w:rPr>
          <w:rFonts w:ascii="Aptos"/>
          <w:i/>
          <w:iCs/>
          <w:lang w:val="en-US"/>
        </w:rPr>
        <w:t>Coral Reefs</w:t>
      </w:r>
      <w:r w:rsidRPr="00D20A7D">
        <w:rPr>
          <w:rFonts w:ascii="Aptos"/>
          <w:lang w:val="en-US"/>
        </w:rPr>
        <w:t xml:space="preserve">, </w:t>
      </w:r>
      <w:r w:rsidRPr="00D20A7D">
        <w:rPr>
          <w:rFonts w:ascii="Aptos"/>
          <w:i/>
          <w:iCs/>
          <w:lang w:val="en-US"/>
        </w:rPr>
        <w:t>19</w:t>
      </w:r>
      <w:r w:rsidRPr="00D20A7D">
        <w:rPr>
          <w:rFonts w:ascii="Aptos"/>
          <w:lang w:val="en-US"/>
        </w:rPr>
        <w:t>(4), 332–342. https://doi.org/10.1007/s003380000124</w:t>
      </w:r>
    </w:p>
    <w:p w14:paraId="18489570" w14:textId="77777777" w:rsidR="00D20A7D" w:rsidRPr="00D20A7D" w:rsidRDefault="00D20A7D" w:rsidP="00D20A7D">
      <w:pPr>
        <w:pStyle w:val="Bibliographie"/>
        <w:rPr>
          <w:rFonts w:ascii="Aptos"/>
          <w:lang w:val="en-US"/>
        </w:rPr>
      </w:pPr>
      <w:r w:rsidRPr="00D20A7D">
        <w:rPr>
          <w:rFonts w:ascii="Aptos"/>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D20A7D">
        <w:rPr>
          <w:rFonts w:ascii="Aptos"/>
          <w:i/>
          <w:iCs/>
          <w:lang w:val="en-US"/>
        </w:rPr>
        <w:t>Communications Biology</w:t>
      </w:r>
      <w:r w:rsidRPr="00D20A7D">
        <w:rPr>
          <w:rFonts w:ascii="Aptos"/>
          <w:lang w:val="en-US"/>
        </w:rPr>
        <w:t xml:space="preserve">, </w:t>
      </w:r>
      <w:r w:rsidRPr="00D20A7D">
        <w:rPr>
          <w:rFonts w:ascii="Aptos"/>
          <w:i/>
          <w:iCs/>
          <w:lang w:val="en-US"/>
        </w:rPr>
        <w:t>7</w:t>
      </w:r>
      <w:r w:rsidRPr="00D20A7D">
        <w:rPr>
          <w:rFonts w:ascii="Aptos"/>
          <w:lang w:val="en-US"/>
        </w:rPr>
        <w:t>(1), 160. https://doi.org/10.1038/s42003-023-05730-0</w:t>
      </w:r>
    </w:p>
    <w:p w14:paraId="3399A16F" w14:textId="77777777" w:rsidR="00D20A7D" w:rsidRPr="00D20A7D" w:rsidRDefault="00D20A7D" w:rsidP="00D20A7D">
      <w:pPr>
        <w:pStyle w:val="Bibliographie"/>
        <w:rPr>
          <w:rFonts w:ascii="Aptos"/>
          <w:lang w:val="en-US"/>
        </w:rPr>
      </w:pPr>
      <w:r w:rsidRPr="00D20A7D">
        <w:rPr>
          <w:rFonts w:ascii="Aptos"/>
          <w:lang w:val="en-US"/>
        </w:rPr>
        <w:t xml:space="preserve">Tanaka, Y., Ogawa, H., &amp; Miyajima, T. (2011). Bacterial decomposition of coral mucus as evaluated by long-term and quantitative observation. </w:t>
      </w:r>
      <w:r w:rsidRPr="00D20A7D">
        <w:rPr>
          <w:rFonts w:ascii="Aptos"/>
          <w:i/>
          <w:iCs/>
          <w:lang w:val="en-US"/>
        </w:rPr>
        <w:t>Coral Reefs</w:t>
      </w:r>
      <w:r w:rsidRPr="00D20A7D">
        <w:rPr>
          <w:rFonts w:ascii="Aptos"/>
          <w:lang w:val="en-US"/>
        </w:rPr>
        <w:t xml:space="preserve">, </w:t>
      </w:r>
      <w:r w:rsidRPr="00D20A7D">
        <w:rPr>
          <w:rFonts w:ascii="Aptos"/>
          <w:i/>
          <w:iCs/>
          <w:lang w:val="en-US"/>
        </w:rPr>
        <w:t>30</w:t>
      </w:r>
      <w:r w:rsidRPr="00D20A7D">
        <w:rPr>
          <w:rFonts w:ascii="Aptos"/>
          <w:lang w:val="en-US"/>
        </w:rPr>
        <w:t>(2), 443–449. https://doi.org/10.1007/s00338-011-0729-3</w:t>
      </w:r>
    </w:p>
    <w:p w14:paraId="27D2FE8F" w14:textId="77777777" w:rsidR="00D20A7D" w:rsidRPr="00D20A7D" w:rsidRDefault="00D20A7D" w:rsidP="00D20A7D">
      <w:pPr>
        <w:pStyle w:val="Bibliographie"/>
        <w:rPr>
          <w:rFonts w:ascii="Aptos"/>
          <w:lang w:val="en-US"/>
        </w:rPr>
      </w:pPr>
      <w:r w:rsidRPr="00D20A7D">
        <w:rPr>
          <w:rFonts w:ascii="Aptos"/>
          <w:lang w:val="en-US"/>
        </w:rPr>
        <w:t xml:space="preserve">Thobor, B. M., Haas, A. F., Wild, C., Nelson, C. E., Wegley Kelly, L., Hehemann, J.-H., Arts, M. G. I., Boer, M., Buck-Wiese, H., Nguyen, N. P., Hellige, I., &amp; Mueller, B. (2024). Coral high molecular weight carbohydrates support opportunistic microbes in bacterioplankton from an algae-dominated reef. </w:t>
      </w:r>
      <w:r w:rsidRPr="00D20A7D">
        <w:rPr>
          <w:rFonts w:ascii="Aptos"/>
          <w:i/>
          <w:iCs/>
          <w:lang w:val="en-US"/>
        </w:rPr>
        <w:t>mSystems</w:t>
      </w:r>
      <w:r w:rsidRPr="00D20A7D">
        <w:rPr>
          <w:rFonts w:ascii="Aptos"/>
          <w:lang w:val="en-US"/>
        </w:rPr>
        <w:t xml:space="preserve">, </w:t>
      </w:r>
      <w:r w:rsidRPr="00D20A7D">
        <w:rPr>
          <w:rFonts w:ascii="Aptos"/>
          <w:i/>
          <w:iCs/>
          <w:lang w:val="en-US"/>
        </w:rPr>
        <w:t>9</w:t>
      </w:r>
      <w:r w:rsidRPr="00D20A7D">
        <w:rPr>
          <w:rFonts w:ascii="Aptos"/>
          <w:lang w:val="en-US"/>
        </w:rPr>
        <w:t>(11), e00832-24. https://doi.org/10.1128/msystems.00832-24</w:t>
      </w:r>
    </w:p>
    <w:p w14:paraId="647C889E" w14:textId="77777777" w:rsidR="00D20A7D" w:rsidRPr="00D20A7D" w:rsidRDefault="00D20A7D" w:rsidP="00D20A7D">
      <w:pPr>
        <w:pStyle w:val="Bibliographie"/>
        <w:rPr>
          <w:rFonts w:ascii="Aptos"/>
          <w:lang w:val="fr-FR"/>
        </w:rPr>
      </w:pPr>
      <w:r w:rsidRPr="00D20A7D">
        <w:rPr>
          <w:rFonts w:ascii="Aptos"/>
          <w:lang w:val="fr-FR"/>
        </w:rPr>
        <w:lastRenderedPageBreak/>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D20A7D">
        <w:rPr>
          <w:rFonts w:ascii="Aptos"/>
          <w:i/>
          <w:iCs/>
          <w:lang w:val="fr-FR"/>
        </w:rPr>
        <w:t>mSystems</w:t>
      </w:r>
      <w:r w:rsidRPr="00D20A7D">
        <w:rPr>
          <w:rFonts w:ascii="Aptos"/>
          <w:lang w:val="fr-FR"/>
        </w:rPr>
        <w:t xml:space="preserve">, </w:t>
      </w:r>
      <w:r w:rsidRPr="00D20A7D">
        <w:rPr>
          <w:rFonts w:ascii="Aptos"/>
          <w:i/>
          <w:iCs/>
          <w:lang w:val="fr-FR"/>
        </w:rPr>
        <w:t>1</w:t>
      </w:r>
      <w:r w:rsidRPr="00D20A7D">
        <w:rPr>
          <w:rFonts w:ascii="Aptos"/>
          <w:lang w:val="fr-FR"/>
        </w:rPr>
        <w:t>(1), e00009-15. https://doi.org/10.1128/mSystems.00009-15</w:t>
      </w:r>
    </w:p>
    <w:p w14:paraId="1891F8FB" w14:textId="77777777" w:rsidR="00D20A7D" w:rsidRPr="00D20A7D" w:rsidRDefault="00D20A7D" w:rsidP="00D20A7D">
      <w:pPr>
        <w:pStyle w:val="Bibliographie"/>
        <w:rPr>
          <w:rFonts w:ascii="Aptos"/>
          <w:lang w:val="fr-FR"/>
        </w:rPr>
      </w:pPr>
      <w:r w:rsidRPr="00D20A7D">
        <w:rPr>
          <w:rFonts w:ascii="Aptos"/>
          <w:lang w:val="fr-FR"/>
        </w:rPr>
        <w:t xml:space="preserve">Wang, Q., Garrity, G. M., Tiedje, J. M., &amp; Cole, J. R. (2007). Naïve Bayesian Classifier for Rapid Assignment of rRNA Sequences into the New Bacterial Taxonomy. </w:t>
      </w:r>
      <w:r w:rsidRPr="00D20A7D">
        <w:rPr>
          <w:rFonts w:ascii="Aptos"/>
          <w:i/>
          <w:iCs/>
          <w:lang w:val="fr-FR"/>
        </w:rPr>
        <w:t>Applied and Environmental Microbiology</w:t>
      </w:r>
      <w:r w:rsidRPr="00D20A7D">
        <w:rPr>
          <w:rFonts w:ascii="Aptos"/>
          <w:lang w:val="fr-FR"/>
        </w:rPr>
        <w:t xml:space="preserve">, </w:t>
      </w:r>
      <w:r w:rsidRPr="00D20A7D">
        <w:rPr>
          <w:rFonts w:ascii="Aptos"/>
          <w:i/>
          <w:iCs/>
          <w:lang w:val="fr-FR"/>
        </w:rPr>
        <w:t>73</w:t>
      </w:r>
      <w:r w:rsidRPr="00D20A7D">
        <w:rPr>
          <w:rFonts w:ascii="Aptos"/>
          <w:lang w:val="fr-FR"/>
        </w:rPr>
        <w:t>(16), 5261–5267. https://doi.org/10.1128/AEM.00062-07</w:t>
      </w:r>
    </w:p>
    <w:p w14:paraId="33097805" w14:textId="77777777" w:rsidR="00D20A7D" w:rsidRPr="00D20A7D" w:rsidRDefault="00D20A7D" w:rsidP="00D20A7D">
      <w:pPr>
        <w:pStyle w:val="Bibliographie"/>
        <w:rPr>
          <w:rFonts w:ascii="Aptos"/>
          <w:lang w:val="fr-FR"/>
        </w:rPr>
      </w:pPr>
      <w:r w:rsidRPr="00D20A7D">
        <w:rPr>
          <w:rFonts w:ascii="Aptos"/>
          <w:lang w:val="fr-FR"/>
        </w:rPr>
        <w:t xml:space="preserve">Weber, L., Soule, M. K., Longnecker, K., Becker, C. C., Huntley, N., Kujawinski, E. B., &amp; Apprill, A. (2022). Benthic exometabolites and their ecological significance on threatened Caribbean coral reefs. </w:t>
      </w:r>
      <w:r w:rsidRPr="00D20A7D">
        <w:rPr>
          <w:rFonts w:ascii="Aptos"/>
          <w:i/>
          <w:iCs/>
          <w:lang w:val="fr-FR"/>
        </w:rPr>
        <w:t>ISME Communications</w:t>
      </w:r>
      <w:r w:rsidRPr="00D20A7D">
        <w:rPr>
          <w:rFonts w:ascii="Aptos"/>
          <w:lang w:val="fr-FR"/>
        </w:rPr>
        <w:t xml:space="preserve">, </w:t>
      </w:r>
      <w:r w:rsidRPr="00D20A7D">
        <w:rPr>
          <w:rFonts w:ascii="Aptos"/>
          <w:i/>
          <w:iCs/>
          <w:lang w:val="fr-FR"/>
        </w:rPr>
        <w:t>2</w:t>
      </w:r>
      <w:r w:rsidRPr="00D20A7D">
        <w:rPr>
          <w:rFonts w:ascii="Aptos"/>
          <w:lang w:val="fr-FR"/>
        </w:rPr>
        <w:t>(1), 101. https://doi.org/10.1038/s43705-022-00184-7</w:t>
      </w:r>
    </w:p>
    <w:p w14:paraId="0D4E328F" w14:textId="77777777" w:rsidR="00D20A7D" w:rsidRPr="00D20A7D" w:rsidRDefault="00D20A7D" w:rsidP="00D20A7D">
      <w:pPr>
        <w:pStyle w:val="Bibliographie"/>
        <w:rPr>
          <w:rFonts w:ascii="Aptos"/>
          <w:lang w:val="fr-FR"/>
        </w:rPr>
      </w:pPr>
      <w:r w:rsidRPr="00D20A7D">
        <w:rPr>
          <w:rFonts w:ascii="Aptos"/>
          <w:lang w:val="fr-FR"/>
        </w:rPr>
        <w:t xml:space="preserve">Wegley Kelly, L., Nelson, C. E., Aluwihare, L. I., Arts, M. G. I., Dorrestein, P. C., Koester, I., Matsuda, S. B., Petras, D., Quinlan, Z. A., &amp; Haas, A. F. (2021). Molecular Commerce on Coral Reefs: Using Metabolomics to Reveal Biochemical Exchanges Underlying Holobiont Biology and the Ecology of Coastal Ecosystems. </w:t>
      </w:r>
      <w:r w:rsidRPr="00D20A7D">
        <w:rPr>
          <w:rFonts w:ascii="Aptos"/>
          <w:i/>
          <w:iCs/>
          <w:lang w:val="fr-FR"/>
        </w:rPr>
        <w:t>Frontiers in Marine Science</w:t>
      </w:r>
      <w:r w:rsidRPr="00D20A7D">
        <w:rPr>
          <w:rFonts w:ascii="Aptos"/>
          <w:lang w:val="fr-FR"/>
        </w:rPr>
        <w:t xml:space="preserve">, </w:t>
      </w:r>
      <w:r w:rsidRPr="00D20A7D">
        <w:rPr>
          <w:rFonts w:ascii="Aptos"/>
          <w:i/>
          <w:iCs/>
          <w:lang w:val="fr-FR"/>
        </w:rPr>
        <w:t>8</w:t>
      </w:r>
      <w:r w:rsidRPr="00D20A7D">
        <w:rPr>
          <w:rFonts w:ascii="Aptos"/>
          <w:lang w:val="fr-FR"/>
        </w:rPr>
        <w:t>, 630799. https://doi.org/10.3389/fmars.2021.630799</w:t>
      </w:r>
    </w:p>
    <w:p w14:paraId="0BF64A28" w14:textId="77777777" w:rsidR="00D20A7D" w:rsidRPr="00D20A7D" w:rsidRDefault="00D20A7D" w:rsidP="00D20A7D">
      <w:pPr>
        <w:pStyle w:val="Bibliographie"/>
        <w:rPr>
          <w:rFonts w:ascii="Aptos"/>
          <w:lang w:val="fr-FR"/>
        </w:rPr>
      </w:pPr>
      <w:r w:rsidRPr="00D20A7D">
        <w:rPr>
          <w:rFonts w:ascii="Aptos"/>
          <w:lang w:val="fr-FR"/>
        </w:rPr>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w:t>
      </w:r>
      <w:r w:rsidRPr="00D20A7D">
        <w:rPr>
          <w:rFonts w:ascii="Aptos"/>
          <w:lang w:val="fr-FR"/>
        </w:rPr>
        <w:lastRenderedPageBreak/>
        <w:t xml:space="preserve">macroalgae and reef-building corals. </w:t>
      </w:r>
      <w:r w:rsidRPr="00D20A7D">
        <w:rPr>
          <w:rFonts w:ascii="Aptos"/>
          <w:i/>
          <w:iCs/>
          <w:lang w:val="fr-FR"/>
        </w:rPr>
        <w:t>Proceedings of the National Academy of Sciences</w:t>
      </w:r>
      <w:r w:rsidRPr="00D20A7D">
        <w:rPr>
          <w:rFonts w:ascii="Aptos"/>
          <w:lang w:val="fr-FR"/>
        </w:rPr>
        <w:t xml:space="preserve">, </w:t>
      </w:r>
      <w:r w:rsidRPr="00D20A7D">
        <w:rPr>
          <w:rFonts w:ascii="Aptos"/>
          <w:i/>
          <w:iCs/>
          <w:lang w:val="fr-FR"/>
        </w:rPr>
        <w:t>119</w:t>
      </w:r>
      <w:r w:rsidRPr="00D20A7D">
        <w:rPr>
          <w:rFonts w:ascii="Aptos"/>
          <w:lang w:val="fr-FR"/>
        </w:rPr>
        <w:t>(5), e2110283119. https://doi.org/10.1073/pnas.2110283119</w:t>
      </w:r>
    </w:p>
    <w:p w14:paraId="02878879" w14:textId="77777777" w:rsidR="00D20A7D" w:rsidRPr="00D20A7D" w:rsidRDefault="00D20A7D" w:rsidP="00D20A7D">
      <w:pPr>
        <w:pStyle w:val="Bibliographie"/>
        <w:rPr>
          <w:rFonts w:ascii="Aptos"/>
          <w:lang w:val="fr-FR"/>
        </w:rPr>
      </w:pPr>
      <w:r w:rsidRPr="00D20A7D">
        <w:rPr>
          <w:rFonts w:ascii="Aptos"/>
          <w:lang w:val="fr-FR"/>
        </w:rPr>
        <w:t xml:space="preserve">Wickham, H. (2016). </w:t>
      </w:r>
      <w:r w:rsidRPr="00D20A7D">
        <w:rPr>
          <w:rFonts w:ascii="Aptos"/>
          <w:i/>
          <w:iCs/>
          <w:lang w:val="fr-FR"/>
        </w:rPr>
        <w:t>ggplot2: Elegant graphics for data analysis</w:t>
      </w:r>
      <w:r w:rsidRPr="00D20A7D">
        <w:rPr>
          <w:rFonts w:ascii="Aptos"/>
          <w:lang w:val="fr-FR"/>
        </w:rPr>
        <w:t>. Springer-Verlag New York. https://ggplot2.tidyverse.org</w:t>
      </w:r>
    </w:p>
    <w:p w14:paraId="248B3651" w14:textId="77777777" w:rsidR="00D20A7D" w:rsidRPr="00D20A7D" w:rsidRDefault="00D20A7D" w:rsidP="00D20A7D">
      <w:pPr>
        <w:pStyle w:val="Bibliographie"/>
        <w:rPr>
          <w:rFonts w:ascii="Aptos"/>
          <w:lang w:val="fr-FR"/>
        </w:rPr>
      </w:pPr>
      <w:r w:rsidRPr="00D20A7D">
        <w:rPr>
          <w:rFonts w:ascii="Aptos"/>
          <w:lang w:val="fr-FR"/>
        </w:rPr>
        <w:t xml:space="preserve">Wild, C., Niggl, W., Naumann, M., &amp; Haas, A. (2010). Organic matter release by Red Sea coral reef organisms—Potential effects on microbial activity and in situ O2 availability. </w:t>
      </w:r>
      <w:r w:rsidRPr="00D20A7D">
        <w:rPr>
          <w:rFonts w:ascii="Aptos"/>
          <w:i/>
          <w:iCs/>
          <w:lang w:val="fr-FR"/>
        </w:rPr>
        <w:t>Marine Ecology Progress Series</w:t>
      </w:r>
      <w:r w:rsidRPr="00D20A7D">
        <w:rPr>
          <w:rFonts w:ascii="Aptos"/>
          <w:lang w:val="fr-FR"/>
        </w:rPr>
        <w:t xml:space="preserve">, </w:t>
      </w:r>
      <w:r w:rsidRPr="00D20A7D">
        <w:rPr>
          <w:rFonts w:ascii="Aptos"/>
          <w:i/>
          <w:iCs/>
          <w:lang w:val="fr-FR"/>
        </w:rPr>
        <w:t>411</w:t>
      </w:r>
      <w:r w:rsidRPr="00D20A7D">
        <w:rPr>
          <w:rFonts w:ascii="Aptos"/>
          <w:lang w:val="fr-FR"/>
        </w:rPr>
        <w:t>, 61–71. https://doi.org/10.3354/meps08653</w:t>
      </w:r>
    </w:p>
    <w:p w14:paraId="0BAF894A" w14:textId="77777777" w:rsidR="00D20A7D" w:rsidRPr="00D20A7D" w:rsidRDefault="00D20A7D" w:rsidP="00D20A7D">
      <w:pPr>
        <w:pStyle w:val="Bibliographie"/>
        <w:rPr>
          <w:rFonts w:ascii="Aptos"/>
          <w:lang w:val="fr-FR"/>
        </w:rPr>
      </w:pPr>
      <w:r w:rsidRPr="00D20A7D">
        <w:rPr>
          <w:rFonts w:ascii="Aptos"/>
          <w:lang w:val="fr-FR"/>
        </w:rPr>
        <w:t xml:space="preserve">Yilmaz, P., Parfrey, L. W., Yarza, P., Gerken, J., Pruesse, E., Quast, C., Schweer, T., Peplies, J., Ludwig, W., &amp; Glöckner, F. O. (2014). The SILVA and “All-species Living Tree Project (LTP)” taxonomic frameworks. </w:t>
      </w:r>
      <w:r w:rsidRPr="00D20A7D">
        <w:rPr>
          <w:rFonts w:ascii="Aptos"/>
          <w:i/>
          <w:iCs/>
          <w:lang w:val="fr-FR"/>
        </w:rPr>
        <w:t>Nucleic Acids Research</w:t>
      </w:r>
      <w:r w:rsidRPr="00D20A7D">
        <w:rPr>
          <w:rFonts w:ascii="Aptos"/>
          <w:lang w:val="fr-FR"/>
        </w:rPr>
        <w:t xml:space="preserve">, </w:t>
      </w:r>
      <w:r w:rsidRPr="00D20A7D">
        <w:rPr>
          <w:rFonts w:ascii="Aptos"/>
          <w:i/>
          <w:iCs/>
          <w:lang w:val="fr-FR"/>
        </w:rPr>
        <w:t>42</w:t>
      </w:r>
      <w:r w:rsidRPr="00D20A7D">
        <w:rPr>
          <w:rFonts w:ascii="Aptos"/>
          <w:lang w:val="fr-FR"/>
        </w:rPr>
        <w:t>(D1), D643–D648. https://doi.org/10.1093/nar/gkt1209</w:t>
      </w:r>
    </w:p>
    <w:p w14:paraId="1CD2B242" w14:textId="6832876A" w:rsidR="00FA3C7C" w:rsidRDefault="00FF1900" w:rsidP="00A71D9A">
      <w:pPr>
        <w:pStyle w:val="Bibliographie"/>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90" w:name="_Toc234162437"/>
      <w:commentRangeStart w:id="91"/>
      <w:r w:rsidRPr="00FA3C7C">
        <w:rPr>
          <w:rFonts w:ascii="Helvetica" w:hAnsi="Helvetica"/>
          <w:b/>
          <w:bCs/>
          <w:color w:val="000000" w:themeColor="text1"/>
        </w:rPr>
        <w:lastRenderedPageBreak/>
        <w:t>Supplemental Material</w:t>
      </w:r>
      <w:bookmarkEnd w:id="90"/>
      <w:commentRangeEnd w:id="91"/>
      <w:r w:rsidR="00A71D9A">
        <w:rPr>
          <w:rStyle w:val="Marquedecommentaire"/>
          <w:rFonts w:ascii="Helvetica" w:hAnsi="Helvetica"/>
          <w:b/>
          <w:bCs/>
          <w:color w:val="000000" w:themeColor="text1"/>
          <w:sz w:val="40"/>
          <w:szCs w:val="40"/>
        </w:rPr>
        <w:commentReference w:id="91"/>
      </w:r>
    </w:p>
    <w:p w14:paraId="3BA072C7" w14:textId="77777777" w:rsidR="006B7430" w:rsidRDefault="006B7430" w:rsidP="00F3107C"/>
    <w:p w14:paraId="40AD5395" w14:textId="70788920" w:rsidR="006B7430" w:rsidRPr="00A71D9A" w:rsidRDefault="006B7430" w:rsidP="00A71D9A">
      <w:pPr>
        <w:pStyle w:val="Lgende"/>
        <w:keepNext/>
        <w:jc w:val="center"/>
        <w:rPr>
          <w:rFonts w:ascii="Calibri" w:hAnsi="Calibri" w:cs="Calibri"/>
          <w:color w:val="000000" w:themeColor="text1"/>
          <w:sz w:val="24"/>
          <w:szCs w:val="24"/>
        </w:rPr>
      </w:pPr>
      <w:bookmarkStart w:id="92" w:name="_Ref236582799"/>
      <w:r w:rsidRPr="00A71D9A">
        <w:rPr>
          <w:rFonts w:ascii="Calibri" w:hAnsi="Calibri" w:cs="Calibri"/>
          <w:color w:val="000000" w:themeColor="text1"/>
          <w:sz w:val="24"/>
          <w:szCs w:val="24"/>
        </w:rPr>
        <w:t xml:space="preserve">Table </w:t>
      </w:r>
      <w:r w:rsidRPr="00A71D9A">
        <w:rPr>
          <w:rFonts w:ascii="Calibri" w:hAnsi="Calibri" w:cs="Calibri"/>
          <w:color w:val="000000" w:themeColor="text1"/>
          <w:sz w:val="24"/>
          <w:szCs w:val="24"/>
        </w:rPr>
        <w:fldChar w:fldCharType="begin"/>
      </w:r>
      <w:r w:rsidRPr="00A71D9A">
        <w:rPr>
          <w:rFonts w:ascii="Calibri" w:hAnsi="Calibri" w:cs="Calibri"/>
          <w:color w:val="000000" w:themeColor="text1"/>
          <w:sz w:val="24"/>
          <w:szCs w:val="24"/>
        </w:rPr>
        <w:instrText xml:space="preserve"> SEQ Table \* ARABIC </w:instrText>
      </w:r>
      <w:r w:rsidRPr="00A71D9A">
        <w:rPr>
          <w:rFonts w:ascii="Calibri" w:hAnsi="Calibri" w:cs="Calibri"/>
          <w:color w:val="000000" w:themeColor="text1"/>
          <w:sz w:val="24"/>
          <w:szCs w:val="24"/>
        </w:rPr>
        <w:fldChar w:fldCharType="separate"/>
      </w:r>
      <w:r w:rsidRPr="00A71D9A">
        <w:rPr>
          <w:rFonts w:ascii="Calibri" w:hAnsi="Calibri" w:cs="Calibri"/>
          <w:noProof/>
          <w:color w:val="000000" w:themeColor="text1"/>
          <w:sz w:val="24"/>
          <w:szCs w:val="24"/>
        </w:rPr>
        <w:t>1</w:t>
      </w:r>
      <w:r w:rsidRPr="00A71D9A">
        <w:rPr>
          <w:rFonts w:ascii="Calibri" w:hAnsi="Calibri" w:cs="Calibri"/>
          <w:color w:val="000000" w:themeColor="text1"/>
          <w:sz w:val="24"/>
          <w:szCs w:val="24"/>
        </w:rPr>
        <w:fldChar w:fldCharType="end"/>
      </w:r>
      <w:bookmarkEnd w:id="92"/>
      <w:r w:rsidRPr="00A71D9A">
        <w:rPr>
          <w:rFonts w:ascii="Calibri" w:hAnsi="Calibri" w:cs="Calibri"/>
          <w:color w:val="000000" w:themeColor="text1"/>
          <w:sz w:val="24"/>
          <w:szCs w:val="24"/>
        </w:rPr>
        <w:t>: ANOVA Results of Nutrient Delta</w:t>
      </w:r>
    </w:p>
    <w:p w14:paraId="5D63047A" w14:textId="77777777" w:rsidR="006B7430" w:rsidRPr="00A71D9A" w:rsidRDefault="006B7430" w:rsidP="00A71D9A">
      <w:pPr>
        <w:jc w:val="center"/>
        <w:rPr>
          <w:rFonts w:ascii="Calibri" w:hAnsi="Calibri" w:cs="Calibri"/>
        </w:rPr>
      </w:pPr>
    </w:p>
    <w:p w14:paraId="07FD70E3" w14:textId="71A799A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2</w:t>
      </w:r>
      <w:r w:rsidRPr="00A71D9A">
        <w:rPr>
          <w:rFonts w:ascii="Calibri" w:hAnsi="Calibri" w:cs="Calibri"/>
          <w:sz w:val="24"/>
          <w:szCs w:val="24"/>
        </w:rPr>
        <w:fldChar w:fldCharType="end"/>
      </w:r>
      <w:r w:rsidRPr="00A71D9A">
        <w:rPr>
          <w:rFonts w:ascii="Calibri" w:hAnsi="Calibri" w:cs="Calibri"/>
          <w:sz w:val="24"/>
          <w:szCs w:val="24"/>
        </w:rPr>
        <w:t>: ANOVA Results of Square root-transformed OTU relative abundance</w:t>
      </w:r>
    </w:p>
    <w:p w14:paraId="380B3A8F" w14:textId="77777777" w:rsidR="00F3107C" w:rsidRPr="00A71D9A" w:rsidRDefault="00F3107C" w:rsidP="00A71D9A">
      <w:pPr>
        <w:jc w:val="center"/>
        <w:rPr>
          <w:rFonts w:ascii="Calibri" w:hAnsi="Calibri" w:cs="Calibri"/>
        </w:rPr>
      </w:pPr>
    </w:p>
    <w:p w14:paraId="37D9CEAF" w14:textId="5B318044"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3</w:t>
      </w:r>
      <w:r w:rsidRPr="00A71D9A">
        <w:rPr>
          <w:rFonts w:ascii="Calibri" w:hAnsi="Calibri" w:cs="Calibri"/>
          <w:sz w:val="24"/>
          <w:szCs w:val="24"/>
        </w:rPr>
        <w:fldChar w:fldCharType="end"/>
      </w:r>
      <w:r w:rsidRPr="00A71D9A">
        <w:rPr>
          <w:rFonts w:ascii="Calibri" w:hAnsi="Calibri" w:cs="Calibri"/>
          <w:sz w:val="24"/>
          <w:szCs w:val="24"/>
        </w:rPr>
        <w:t>: Dunnett's Post-hoc contrasts square root transformed OTU relative abundance</w:t>
      </w:r>
    </w:p>
    <w:p w14:paraId="1EF150E8" w14:textId="77777777" w:rsidR="00F3107C" w:rsidRPr="00A71D9A" w:rsidRDefault="00F3107C" w:rsidP="00A71D9A">
      <w:pPr>
        <w:jc w:val="center"/>
        <w:rPr>
          <w:rFonts w:ascii="Calibri" w:hAnsi="Calibri" w:cs="Calibri"/>
        </w:rPr>
      </w:pPr>
    </w:p>
    <w:p w14:paraId="702F8C3C" w14:textId="33D28B0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4</w:t>
      </w:r>
      <w:r w:rsidRPr="00A71D9A">
        <w:rPr>
          <w:rFonts w:ascii="Calibri" w:hAnsi="Calibri" w:cs="Calibri"/>
          <w:sz w:val="24"/>
          <w:szCs w:val="24"/>
        </w:rPr>
        <w:fldChar w:fldCharType="end"/>
      </w:r>
      <w:r w:rsidRPr="00A71D9A">
        <w:rPr>
          <w:rFonts w:ascii="Calibri" w:hAnsi="Calibri" w:cs="Calibri"/>
          <w:sz w:val="24"/>
          <w:szCs w:val="24"/>
        </w:rPr>
        <w:t>:  ANOVA Results of Delta Relativized OTU relative abundance</w:t>
      </w:r>
    </w:p>
    <w:p w14:paraId="2B40A7A6" w14:textId="775B9A65" w:rsidR="00F3107C" w:rsidRPr="00A71D9A" w:rsidRDefault="00F3107C" w:rsidP="00A71D9A">
      <w:pPr>
        <w:jc w:val="center"/>
        <w:rPr>
          <w:rFonts w:ascii="Calibri" w:hAnsi="Calibri" w:cs="Calibri"/>
        </w:rPr>
      </w:pPr>
    </w:p>
    <w:p w14:paraId="03059359" w14:textId="2AF43883"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5</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OTU  relative abundance</w:t>
      </w:r>
    </w:p>
    <w:p w14:paraId="70829A6A" w14:textId="77777777" w:rsidR="00F3107C" w:rsidRPr="00A71D9A" w:rsidRDefault="00F3107C" w:rsidP="00A71D9A">
      <w:pPr>
        <w:jc w:val="center"/>
        <w:rPr>
          <w:rFonts w:ascii="Calibri" w:hAnsi="Calibri" w:cs="Calibri"/>
        </w:rPr>
      </w:pPr>
    </w:p>
    <w:p w14:paraId="3FD2DFF4" w14:textId="4C8AFB20"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6</w:t>
      </w:r>
      <w:r w:rsidRPr="00A71D9A">
        <w:rPr>
          <w:rFonts w:ascii="Calibri" w:hAnsi="Calibri" w:cs="Calibri"/>
          <w:sz w:val="24"/>
          <w:szCs w:val="24"/>
        </w:rPr>
        <w:fldChar w:fldCharType="end"/>
      </w:r>
      <w:r w:rsidRPr="00A71D9A">
        <w:rPr>
          <w:rFonts w:ascii="Calibri" w:hAnsi="Calibri" w:cs="Calibri"/>
          <w:sz w:val="24"/>
          <w:szCs w:val="24"/>
        </w:rPr>
        <w:t>:  ANOVA Results of Square root-transformed Genus  relative abundance</w:t>
      </w:r>
    </w:p>
    <w:p w14:paraId="62F403F4" w14:textId="5B377338" w:rsidR="00F3107C" w:rsidRPr="00A71D9A" w:rsidRDefault="00F3107C" w:rsidP="00A71D9A">
      <w:pPr>
        <w:jc w:val="center"/>
        <w:rPr>
          <w:rFonts w:ascii="Calibri" w:hAnsi="Calibri" w:cs="Calibri"/>
        </w:rPr>
      </w:pPr>
    </w:p>
    <w:p w14:paraId="1BB29AD3" w14:textId="02FD1770" w:rsidR="00F3107C" w:rsidRPr="00A71D9A" w:rsidRDefault="00F3107C" w:rsidP="00A71D9A">
      <w:pPr>
        <w:pStyle w:val="Lgende"/>
        <w:keepNext/>
        <w:jc w:val="center"/>
        <w:rPr>
          <w:rFonts w:ascii="Calibri" w:hAnsi="Calibri" w:cs="Calibri"/>
          <w:sz w:val="24"/>
          <w:szCs w:val="24"/>
        </w:rPr>
      </w:pPr>
      <w:bookmarkStart w:id="93" w:name="_Ref236691126"/>
      <w:bookmarkStart w:id="94" w:name="_Ref236691132"/>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7</w:t>
      </w:r>
      <w:r w:rsidRPr="00A71D9A">
        <w:rPr>
          <w:rFonts w:ascii="Calibri" w:hAnsi="Calibri" w:cs="Calibri"/>
          <w:sz w:val="24"/>
          <w:szCs w:val="24"/>
        </w:rPr>
        <w:fldChar w:fldCharType="end"/>
      </w:r>
      <w:bookmarkEnd w:id="94"/>
      <w:r w:rsidRPr="00A71D9A">
        <w:rPr>
          <w:rFonts w:ascii="Calibri" w:hAnsi="Calibri" w:cs="Calibri"/>
          <w:sz w:val="24"/>
          <w:szCs w:val="24"/>
        </w:rPr>
        <w:t>: Dunnett's Post-hoc contrasts Square-root transformed Genus relative abundance</w:t>
      </w:r>
      <w:r w:rsidR="003040B6" w:rsidRPr="00A71D9A">
        <w:rPr>
          <w:rFonts w:ascii="Calibri" w:hAnsi="Calibri" w:cs="Calibri"/>
          <w:sz w:val="24"/>
          <w:szCs w:val="24"/>
        </w:rPr>
        <w:t xml:space="preserve"> with signficant ANOVA</w:t>
      </w:r>
      <w:bookmarkEnd w:id="93"/>
    </w:p>
    <w:p w14:paraId="5C8E7BAC" w14:textId="77777777" w:rsidR="00F3107C" w:rsidRPr="00A71D9A" w:rsidRDefault="00F3107C" w:rsidP="00A71D9A">
      <w:pPr>
        <w:jc w:val="center"/>
        <w:rPr>
          <w:rFonts w:ascii="Calibri" w:hAnsi="Calibri" w:cs="Calibri"/>
        </w:rPr>
      </w:pPr>
    </w:p>
    <w:p w14:paraId="5FD53964" w14:textId="76878EAA"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8</w:t>
      </w:r>
      <w:r w:rsidRPr="00A71D9A">
        <w:rPr>
          <w:rFonts w:ascii="Calibri" w:hAnsi="Calibri" w:cs="Calibri"/>
          <w:sz w:val="24"/>
          <w:szCs w:val="24"/>
        </w:rPr>
        <w:fldChar w:fldCharType="end"/>
      </w:r>
      <w:r w:rsidRPr="00A71D9A">
        <w:rPr>
          <w:rFonts w:ascii="Calibri" w:hAnsi="Calibri" w:cs="Calibri"/>
          <w:sz w:val="24"/>
          <w:szCs w:val="24"/>
        </w:rPr>
        <w:t>: ANOVA Results of Delta Relativized Genus  Relative Abundance</w:t>
      </w:r>
    </w:p>
    <w:p w14:paraId="58FE8D40" w14:textId="793B1685" w:rsidR="00F3107C" w:rsidRPr="00A71D9A" w:rsidRDefault="00F3107C" w:rsidP="00A71D9A">
      <w:pPr>
        <w:jc w:val="center"/>
        <w:rPr>
          <w:rFonts w:ascii="Calibri" w:hAnsi="Calibri" w:cs="Calibri"/>
        </w:rPr>
      </w:pPr>
    </w:p>
    <w:p w14:paraId="400185AD" w14:textId="77777777" w:rsidR="00F3107C" w:rsidRPr="00A71D9A" w:rsidRDefault="00F3107C" w:rsidP="00A71D9A">
      <w:pPr>
        <w:jc w:val="center"/>
        <w:rPr>
          <w:rFonts w:ascii="Calibri" w:hAnsi="Calibri" w:cs="Calibri"/>
        </w:rPr>
      </w:pPr>
    </w:p>
    <w:p w14:paraId="2C7911B2" w14:textId="4F5DC0FD"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9</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Genus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04T01:24:00Z" w:initials="KR">
    <w:p w14:paraId="23886053" w14:textId="77777777" w:rsidR="003E6901" w:rsidRDefault="003E6901" w:rsidP="003E6901">
      <w:r>
        <w:rPr>
          <w:rStyle w:val="Marquedecommentaire"/>
        </w:rPr>
        <w:annotationRef/>
      </w:r>
      <w:r>
        <w:rPr>
          <w:sz w:val="20"/>
          <w:szCs w:val="20"/>
        </w:rPr>
        <w:t>Craig: "It is really important that you understand which of these papers truly show evidence of the processes you are citing them for. Use critical thinking. My experience tells me that few if any of these papers really support the statements you are making. In some cases you can edit your sentences to better match what the references really showed, in others you may be able to find references with clearer results. This is not your fault: the coral reef field is full of sweeping claims about pollution and fishing impacts with relatively weak support, and it is your job to develop a critical eye toward this."</w:t>
      </w:r>
    </w:p>
  </w:comment>
  <w:comment w:id="14" w:author="Keanu Rochette" w:date="2026-08-04T01:19:00Z" w:initials="KR">
    <w:p w14:paraId="3C0CC03C" w14:textId="77777777" w:rsidR="007333AB" w:rsidRDefault="007333AB" w:rsidP="007333AB">
      <w:r>
        <w:rPr>
          <w:rStyle w:val="Marquedecommentaire"/>
        </w:rPr>
        <w:annotationRef/>
      </w:r>
      <w:r>
        <w:rPr>
          <w:sz w:val="20"/>
          <w:szCs w:val="20"/>
        </w:rPr>
        <w:t>Craig : "I think citing Silbiger et al 2025 would work here, but also other citations for this concept would be good (perhaps find some in the introduction of Nyssa's paper?)"</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3"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8"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5"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6"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9"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2"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7"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91"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3886053" w15:done="0"/>
  <w15:commentEx w15:paraId="3C0CC03C"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8DA3DF" w16cex:dateUtc="2026-08-04T11:24:00Z"/>
  <w16cex:commentExtensible w16cex:durableId="1171B200" w16cex:dateUtc="2026-08-04T11:19: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3886053" w16cid:durableId="208DA3DF"/>
  <w16cid:commentId w16cid:paraId="3C0CC03C" w16cid:durableId="1171B200"/>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B22E1A" w14:textId="77777777" w:rsidR="00FB0BBE" w:rsidRDefault="00FB0BBE" w:rsidP="0037287D">
      <w:pPr>
        <w:spacing w:after="0" w:line="240" w:lineRule="auto"/>
      </w:pPr>
      <w:r>
        <w:separator/>
      </w:r>
    </w:p>
  </w:endnote>
  <w:endnote w:type="continuationSeparator" w:id="0">
    <w:p w14:paraId="148C9A56" w14:textId="77777777" w:rsidR="00FB0BBE" w:rsidRDefault="00FB0BBE"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4DCD3C" w14:textId="77777777" w:rsidR="00FB0BBE" w:rsidRDefault="00FB0BBE" w:rsidP="0037287D">
      <w:pPr>
        <w:spacing w:after="0" w:line="240" w:lineRule="auto"/>
      </w:pPr>
      <w:r>
        <w:separator/>
      </w:r>
    </w:p>
  </w:footnote>
  <w:footnote w:type="continuationSeparator" w:id="0">
    <w:p w14:paraId="00B7E005" w14:textId="77777777" w:rsidR="00FB0BBE" w:rsidRDefault="00FB0BBE"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5001D"/>
    <w:rsid w:val="000507B9"/>
    <w:rsid w:val="00061013"/>
    <w:rsid w:val="00072870"/>
    <w:rsid w:val="000A157B"/>
    <w:rsid w:val="000B6B00"/>
    <w:rsid w:val="0011443B"/>
    <w:rsid w:val="0013065B"/>
    <w:rsid w:val="00136BF9"/>
    <w:rsid w:val="0019099B"/>
    <w:rsid w:val="001E71FC"/>
    <w:rsid w:val="00200FAC"/>
    <w:rsid w:val="00220A48"/>
    <w:rsid w:val="00227E96"/>
    <w:rsid w:val="00230647"/>
    <w:rsid w:val="00236BE6"/>
    <w:rsid w:val="00264C75"/>
    <w:rsid w:val="0028661D"/>
    <w:rsid w:val="002C6AEE"/>
    <w:rsid w:val="002F644A"/>
    <w:rsid w:val="002F7748"/>
    <w:rsid w:val="003040B6"/>
    <w:rsid w:val="003275B7"/>
    <w:rsid w:val="0033566F"/>
    <w:rsid w:val="0037287D"/>
    <w:rsid w:val="00380F8C"/>
    <w:rsid w:val="0038138A"/>
    <w:rsid w:val="003C1715"/>
    <w:rsid w:val="003E6901"/>
    <w:rsid w:val="003F18D5"/>
    <w:rsid w:val="004035A5"/>
    <w:rsid w:val="0043448B"/>
    <w:rsid w:val="00446AAF"/>
    <w:rsid w:val="00453D29"/>
    <w:rsid w:val="004A2DE1"/>
    <w:rsid w:val="004A3DE3"/>
    <w:rsid w:val="004D0DFC"/>
    <w:rsid w:val="005125EE"/>
    <w:rsid w:val="00514EB7"/>
    <w:rsid w:val="005379CC"/>
    <w:rsid w:val="00571577"/>
    <w:rsid w:val="005B19E0"/>
    <w:rsid w:val="005C0BB0"/>
    <w:rsid w:val="005D7646"/>
    <w:rsid w:val="005E4574"/>
    <w:rsid w:val="005F3C48"/>
    <w:rsid w:val="006013D8"/>
    <w:rsid w:val="006113FB"/>
    <w:rsid w:val="00680163"/>
    <w:rsid w:val="006B584E"/>
    <w:rsid w:val="006B7430"/>
    <w:rsid w:val="007170D8"/>
    <w:rsid w:val="007333AB"/>
    <w:rsid w:val="007938AA"/>
    <w:rsid w:val="00794641"/>
    <w:rsid w:val="007B68A6"/>
    <w:rsid w:val="008523E2"/>
    <w:rsid w:val="00896A7E"/>
    <w:rsid w:val="008B02BA"/>
    <w:rsid w:val="008C00BD"/>
    <w:rsid w:val="00934F70"/>
    <w:rsid w:val="00942223"/>
    <w:rsid w:val="0094279E"/>
    <w:rsid w:val="009A55A5"/>
    <w:rsid w:val="009C66B5"/>
    <w:rsid w:val="009D2535"/>
    <w:rsid w:val="009F2600"/>
    <w:rsid w:val="00A106A1"/>
    <w:rsid w:val="00A50186"/>
    <w:rsid w:val="00A71D9A"/>
    <w:rsid w:val="00A84398"/>
    <w:rsid w:val="00AC57EB"/>
    <w:rsid w:val="00AD0853"/>
    <w:rsid w:val="00AD25AD"/>
    <w:rsid w:val="00AE0DC9"/>
    <w:rsid w:val="00B17216"/>
    <w:rsid w:val="00B250A0"/>
    <w:rsid w:val="00B60634"/>
    <w:rsid w:val="00BA033D"/>
    <w:rsid w:val="00BC483F"/>
    <w:rsid w:val="00C12BAF"/>
    <w:rsid w:val="00C979E2"/>
    <w:rsid w:val="00D01DAF"/>
    <w:rsid w:val="00D20A7D"/>
    <w:rsid w:val="00D34D21"/>
    <w:rsid w:val="00D36B2C"/>
    <w:rsid w:val="00D45BB6"/>
    <w:rsid w:val="00D60AC0"/>
    <w:rsid w:val="00DA1A5E"/>
    <w:rsid w:val="00DA4808"/>
    <w:rsid w:val="00E430AF"/>
    <w:rsid w:val="00E51D13"/>
    <w:rsid w:val="00E70975"/>
    <w:rsid w:val="00E71264"/>
    <w:rsid w:val="00E8437B"/>
    <w:rsid w:val="00EA6829"/>
    <w:rsid w:val="00EB746F"/>
    <w:rsid w:val="00ED1536"/>
    <w:rsid w:val="00EF5C60"/>
    <w:rsid w:val="00F0557B"/>
    <w:rsid w:val="00F07DCF"/>
    <w:rsid w:val="00F3089A"/>
    <w:rsid w:val="00F3107C"/>
    <w:rsid w:val="00F554F4"/>
    <w:rsid w:val="00F70BA6"/>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1866</TotalTime>
  <Pages>50</Pages>
  <Words>56165</Words>
  <Characters>308908</Characters>
  <Application>Microsoft Office Word</Application>
  <DocSecurity>0</DocSecurity>
  <Lines>2574</Lines>
  <Paragraphs>728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61</cp:revision>
  <dcterms:created xsi:type="dcterms:W3CDTF">2026-06-19T21:44:00Z</dcterms:created>
  <dcterms:modified xsi:type="dcterms:W3CDTF">2026-08-04T11:26:00Z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