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 THESIS SUBMITTED TO THE GRADUATE DIVISION OF</w:t>
      </w:r>
      <w:r w:rsidRPr="00FF1900">
        <w:rPr>
          <w:rFonts w:ascii="Times New Roman" w:hAnsi="Times New Roman" w:cs="Times New Roman"/>
          <w:color w:val="000000" w:themeColor="text1"/>
        </w:rPr>
        <w:t xml:space="preserve"> </w:t>
      </w:r>
      <w:r w:rsidRPr="00FF1900">
        <w:rPr>
          <w:rFonts w:ascii="Times New Roman" w:hAnsi="Times New Roman" w:cs="Times New Roman"/>
          <w:color w:val="000000" w:themeColor="text1"/>
        </w:rPr>
        <w:t xml:space="preserve">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IN</w:t>
      </w:r>
      <w:r w:rsidRPr="00FF1900">
        <w:rPr>
          <w:rFonts w:ascii="Times New Roman" w:hAnsi="Times New Roman" w:cs="Times New Roman"/>
          <w:color w:val="000000" w:themeColor="text1"/>
        </w:rPr>
        <w:t xml:space="preserv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0398915F" w:rsidR="00F0557B" w:rsidRPr="009C66B5" w:rsidRDefault="00F0557B" w:rsidP="00FF1900">
      <w:pPr>
        <w:jc w:val="both"/>
        <w:rPr>
          <w:rFonts w:ascii="Helvetica" w:hAnsi="Helvetica" w:cs="Calibri"/>
        </w:rPr>
      </w:pPr>
      <w:r w:rsidRPr="009C66B5">
        <w:rPr>
          <w:rFonts w:ascii="Helvetica" w:hAnsi="Helvetica" w:cs="Calibri"/>
        </w:rPr>
        <w:t>B</w:t>
      </w:r>
      <w:r w:rsidRPr="009C66B5">
        <w:rPr>
          <w:rFonts w:ascii="Helvetica" w:hAnsi="Helvetica" w:cs="Calibri"/>
        </w:rPr>
        <w:t xml:space="preserve">acterioplankton </w:t>
      </w:r>
      <w:r w:rsidRPr="009C66B5">
        <w:rPr>
          <w:rFonts w:ascii="Helvetica" w:hAnsi="Helvetica" w:cs="Calibri"/>
        </w:rPr>
        <w:t xml:space="preserve">plays an essential role in the </w:t>
      </w:r>
      <w:r w:rsidRPr="009C66B5">
        <w:rPr>
          <w:rFonts w:ascii="Helvetica" w:hAnsi="Helvetica" w:cs="Calibri"/>
        </w:rPr>
        <w:t xml:space="preserve">recycling </w:t>
      </w:r>
      <w:r w:rsidR="000B6B00" w:rsidRPr="009C66B5">
        <w:rPr>
          <w:rFonts w:ascii="Helvetica" w:hAnsi="Helvetica" w:cs="Calibri"/>
        </w:rPr>
        <w:t xml:space="preserve">of </w:t>
      </w:r>
      <w:r w:rsidRPr="009C66B5">
        <w:rPr>
          <w:rFonts w:ascii="Helvetica" w:hAnsi="Helvetica" w:cs="Calibri"/>
        </w:rPr>
        <w:t>dissolved compounds</w:t>
      </w:r>
      <w:r w:rsidRPr="009C66B5">
        <w:rPr>
          <w:rFonts w:ascii="Helvetica" w:hAnsi="Helvetica" w:cs="Calibri"/>
        </w:rPr>
        <w:t xml:space="preserve">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w:t>
      </w:r>
      <w:r w:rsidRPr="009C66B5">
        <w:rPr>
          <w:rFonts w:ascii="Helvetica" w:hAnsi="Helvetica" w:cs="Calibri"/>
        </w:rPr>
        <w:t xml:space="preserve">. </w:t>
      </w:r>
      <w:r w:rsidRPr="009C66B5">
        <w:rPr>
          <w:rFonts w:ascii="Helvetica" w:hAnsi="Helvetica" w:cs="Calibri"/>
        </w:rPr>
        <w:t>In the recent decades, coral r</w:t>
      </w:r>
      <w:r w:rsidRPr="009C66B5">
        <w:rPr>
          <w:rFonts w:ascii="Helvetica" w:hAnsi="Helvetica" w:cs="Calibri"/>
        </w:rPr>
        <w:t xml:space="preserve">eefs </w:t>
      </w:r>
      <w:r w:rsidRPr="009C66B5">
        <w:rPr>
          <w:rFonts w:ascii="Helvetica" w:hAnsi="Helvetica" w:cs="Calibri"/>
        </w:rPr>
        <w:t>have</w:t>
      </w:r>
      <w:r w:rsidRPr="009C66B5">
        <w:rPr>
          <w:rFonts w:ascii="Helvetica" w:hAnsi="Helvetica" w:cs="Calibri"/>
        </w:rPr>
        <w:t xml:space="preserve"> exhibit</w:t>
      </w:r>
      <w:r w:rsidRPr="009C66B5">
        <w:rPr>
          <w:rFonts w:ascii="Helvetica" w:hAnsi="Helvetica" w:cs="Calibri"/>
        </w:rPr>
        <w:t>ed</w:t>
      </w:r>
      <w:r w:rsidRPr="009C66B5">
        <w:rPr>
          <w:rFonts w:ascii="Helvetica" w:hAnsi="Helvetica" w:cs="Calibri"/>
        </w:rPr>
        <w:t xml:space="preserve">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9F2600" w:rsidRPr="007B68A6">
        <w:rPr>
          <w:rFonts w:ascii="Helvetica" w:hAnsi="Helvetica" w:cs="Calibri"/>
          <w:highlight w:val="yellow"/>
        </w:rPr>
        <w:t xml:space="preserve">Results from our experiments have shown </w:t>
      </w:r>
      <w:r w:rsidR="009C66B5" w:rsidRPr="007B68A6">
        <w:rPr>
          <w:rFonts w:ascii="Helvetica" w:hAnsi="Helvetica" w:cs="Calibri"/>
          <w:highlight w:val="yellow"/>
        </w:rPr>
        <w:t>algal enrichment depleted nutrients, specifically nitrate, likely from primary producation.</w:t>
      </w:r>
      <w:r w:rsidR="009F2600" w:rsidRPr="007B68A6">
        <w:rPr>
          <w:rFonts w:ascii="Helvetica" w:hAnsi="Helvetica" w:cs="Calibri"/>
          <w:highlight w:val="yellow"/>
        </w:rPr>
        <w:t xml:space="preserve"> </w:t>
      </w:r>
      <w:r w:rsidR="009C66B5" w:rsidRPr="007B68A6">
        <w:rPr>
          <w:rFonts w:ascii="Helvetica" w:hAnsi="Helvetica" w:cs="Calibri"/>
          <w:highlight w:val="yellow"/>
        </w:rPr>
        <w:t>I</w:t>
      </w:r>
      <w:r w:rsidR="009F2600" w:rsidRPr="007B68A6">
        <w:rPr>
          <w:rFonts w:ascii="Helvetica" w:hAnsi="Helvetica" w:cs="Calibri"/>
          <w:highlight w:val="yellow"/>
        </w:rPr>
        <w:t>ncrease</w:t>
      </w:r>
      <w:r w:rsidR="009C66B5" w:rsidRPr="007B68A6">
        <w:rPr>
          <w:rFonts w:ascii="Helvetica" w:hAnsi="Helvetica" w:cs="Calibri"/>
          <w:highlight w:val="yellow"/>
        </w:rPr>
        <w:t>d</w:t>
      </w:r>
      <w:r w:rsidR="009F2600" w:rsidRPr="007B68A6">
        <w:rPr>
          <w:rFonts w:ascii="Helvetica" w:hAnsi="Helvetica" w:cs="Calibri"/>
          <w:highlight w:val="yellow"/>
        </w:rPr>
        <w:t xml:space="preserve"> </w:t>
      </w:r>
      <w:r w:rsidR="009C66B5" w:rsidRPr="007B68A6">
        <w:rPr>
          <w:rFonts w:ascii="Helvetica" w:hAnsi="Helvetica" w:cs="Calibri"/>
          <w:highlight w:val="yellow"/>
        </w:rPr>
        <w:t xml:space="preserve">macroalgal </w:t>
      </w:r>
      <w:r w:rsidR="009F2600" w:rsidRPr="007B68A6">
        <w:rPr>
          <w:rFonts w:ascii="Helvetica" w:hAnsi="Helvetica" w:cs="Calibri"/>
          <w:highlight w:val="yellow"/>
        </w:rPr>
        <w:t>abundance was</w:t>
      </w:r>
      <w:r w:rsidR="009C66B5" w:rsidRPr="007B68A6">
        <w:rPr>
          <w:rFonts w:ascii="Helvetica" w:hAnsi="Helvetica" w:cs="Calibri"/>
          <w:highlight w:val="yellow"/>
        </w:rPr>
        <w:t xml:space="preserve"> also</w:t>
      </w:r>
      <w:r w:rsidR="009F2600" w:rsidRPr="007B68A6">
        <w:rPr>
          <w:rFonts w:ascii="Helvetica" w:hAnsi="Helvetica" w:cs="Calibri"/>
          <w:highlight w:val="yellow"/>
        </w:rPr>
        <w:t xml:space="preserve"> associated with enrichments of fluorescent organic molecules, such as Coble C peak and fluvic acid (STATS), suggesting distinct exudate </w:t>
      </w:r>
      <w:r w:rsidR="009F2600" w:rsidRPr="007B68A6">
        <w:rPr>
          <w:rFonts w:ascii="Helvetica" w:hAnsi="Helvetica" w:cs="Calibri"/>
          <w:highlight w:val="yellow"/>
        </w:rPr>
        <w:t>composition</w:t>
      </w:r>
      <w:r w:rsidR="009F2600" w:rsidRPr="007B68A6">
        <w:rPr>
          <w:rFonts w:ascii="Helvetica" w:hAnsi="Helvetica" w:cs="Calibri"/>
          <w:highlight w:val="yellow"/>
        </w:rPr>
        <w:t>. Additionall</w:t>
      </w:r>
      <w:r w:rsidR="009C66B5" w:rsidRPr="007B68A6">
        <w:rPr>
          <w:rFonts w:ascii="Helvetica" w:hAnsi="Helvetica" w:cs="Calibri"/>
          <w:highlight w:val="yellow"/>
        </w:rPr>
        <w:t xml:space="preserve">y, algae-enriched mesocosms exhibited greater abundant of heterotrophic bacteria with enrichment in copiotrophic families such as Rhodobacteraceae, Nitrincolaceae, and […], while oligotrophic families (SARxx, Omxx, and Alphaproteobact ?) were </w:t>
      </w:r>
      <w:commentRangeStart w:id="9"/>
      <w:r w:rsidR="009C66B5" w:rsidRPr="007B68A6">
        <w:rPr>
          <w:rFonts w:ascii="Helvetica" w:hAnsi="Helvetica" w:cs="Calibri"/>
          <w:highlight w:val="yellow"/>
        </w:rPr>
        <w:t>depleted</w:t>
      </w:r>
      <w:commentRangeEnd w:id="9"/>
      <w:r w:rsidR="007B68A6" w:rsidRPr="007B68A6">
        <w:rPr>
          <w:rStyle w:val="Marquedecommentaire"/>
          <w:rFonts w:ascii="Helvetica" w:hAnsi="Helvetica" w:cs="Calibri"/>
          <w:sz w:val="24"/>
          <w:szCs w:val="24"/>
          <w:highlight w:val="yellow"/>
        </w:rPr>
        <w:commentReference w:id="9"/>
      </w:r>
      <w:r w:rsidR="009C66B5" w:rsidRPr="007B68A6">
        <w:rPr>
          <w:rFonts w:ascii="Helvetica" w:hAnsi="Helvetica" w:cs="Calibri"/>
          <w:highlight w:val="yellow"/>
        </w:rPr>
        <w:t>.</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10" w:name="_Toc232771506"/>
      <w:bookmarkStart w:id="11" w:name="_Toc234162408"/>
      <w:r w:rsidRPr="00F0557B">
        <w:rPr>
          <w:rFonts w:ascii="Calibri" w:hAnsi="Calibri" w:cs="Calibri"/>
          <w:b/>
          <w:bCs/>
          <w:color w:val="000000" w:themeColor="text1"/>
        </w:rPr>
        <w:lastRenderedPageBreak/>
        <w:t>Introduction</w:t>
      </w:r>
      <w:bookmarkEnd w:id="10"/>
      <w:bookmarkEnd w:id="11"/>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2" w:name="_Toc232771507"/>
      <w:bookmarkStart w:id="13" w:name="_Toc234162409"/>
      <w:r w:rsidRPr="00F0557B">
        <w:rPr>
          <w:rFonts w:ascii="Calibri" w:hAnsi="Calibri" w:cs="Calibri"/>
          <w:b/>
          <w:bCs/>
          <w:color w:val="000000" w:themeColor="text1"/>
          <w:sz w:val="24"/>
          <w:szCs w:val="24"/>
        </w:rPr>
        <w:t>Ecological Phase Shifts in Coral Reefs Worldwide</w:t>
      </w:r>
      <w:bookmarkEnd w:id="12"/>
      <w:bookmarkEnd w:id="13"/>
    </w:p>
    <w:p w14:paraId="0B7E1A67" w14:textId="270CEE9B"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 forcings which are detrimental to coral and favorable to algae. 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p>
    <w:p w14:paraId="61F3CCED" w14:textId="6217A48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Persistent conditions favoring algal growth and coral decline have been exacerbated worldwide by sustained anthropogenic carbon emissions, thus providing conditions that further favor macro-algal dominance and are consistent with ecological phase shifts. Changes in benthic community composition affect water column biogeochemistry with potential implications on ecosystem productivity, health, and functions.</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4" w:name="_Toc232771508"/>
      <w:bookmarkStart w:id="15"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14"/>
      <w:bookmarkEnd w:id="15"/>
    </w:p>
    <w:p w14:paraId="290B3C96" w14:textId="277AB772"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Exudates of benthic primary producers influence microbial metabolism and microbially-mediated processes </w:t>
      </w:r>
      <w:commentRangeStart w:id="16"/>
      <w:r w:rsidRPr="00F0557B">
        <w:rPr>
          <w:rFonts w:ascii="Calibri" w:hAnsi="Calibri" w:cs="Calibri"/>
          <w:color w:val="000000" w:themeColor="text1"/>
        </w:rPr>
        <w:t xml:space="preserve">(Wegley Kelly et al. 2021 Frontiers). </w:t>
      </w:r>
      <w:commentRangeEnd w:id="16"/>
      <w:r w:rsidR="007B68A6" w:rsidRPr="00F0557B">
        <w:rPr>
          <w:rStyle w:val="Marquedecommentaire"/>
          <w:rFonts w:ascii="Calibri" w:hAnsi="Calibri" w:cs="Calibri"/>
          <w:color w:val="000000" w:themeColor="text1"/>
          <w:sz w:val="24"/>
          <w:szCs w:val="24"/>
        </w:rPr>
        <w:commentReference w:id="16"/>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{"citationID":"5MJfUylu","properties":{"unsorted":false,"formattedCitation":"(Haas et al., 2011, 2013)","plainCitation":"(Haas et al., 2011,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4162411"/>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50F14BE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{"citationID":"GocBRhz7","properties":{"unsorted":false,"formattedCitation":"(Quinlan et al., 2018; Sparagon et al., 2024)","plainCitation":"(Quinlan et al., 2018; Sparagon et al., 2024)","noteIndex":0},"citationItems":[{"id":5101,"uris":["http://zotero.org/users/9067719/items/YSEJTN8A"],"itemData":{"id":5101,"type":"article-journal","abstract":"Abstract\n            Dissolved organic matter (DOM) composition influences microbial community metabolism and benthic primary pro</w:instrText>
      </w:r>
      <w:r w:rsidR="008523E2">
        <w:rPr>
          <w:rFonts w:ascii="Calibri" w:hAnsi="Calibri" w:cs="Calibri" w:hint="eastAsia"/>
          <w:color w:val="000000" w:themeColor="text1"/>
        </w:rPr>
        <w:instrText>ducers are a source of DOM in coral reefs. As reef benthic communities change, in part due to nutrient pollution, understanding impacts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w:instrText>
      </w:r>
      <w:r w:rsidR="008523E2">
        <w:rPr>
          <w:rFonts w:ascii="Calibri" w:hAnsi="Calibri" w:cs="Calibri"/>
          <w:color w:val="000000" w:themeColor="text1"/>
        </w:rPr>
        <w:instrText>iment dosing four coral reef benthic constituents with three levels of nitrate and phosphate to contrast exudate composition and quantify the effects of nutrient enrichment on exudate release. Moderate nutrient enrichment enhanced bulk dissolved organic c</w:instrText>
      </w:r>
      <w:r w:rsidR="008523E2">
        <w:rPr>
          <w:rFonts w:ascii="Calibri" w:hAnsi="Calibri" w:cs="Calibri" w:hint="eastAsia"/>
          <w:color w:val="000000" w:themeColor="text1"/>
        </w:rPr>
        <w:instrText>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w:instrText>
      </w:r>
      <w:r w:rsidR="008523E2">
        <w:rPr>
          <w:rFonts w:ascii="Calibri" w:hAnsi="Calibri" w:cs="Calibri"/>
          <w:color w:val="000000" w:themeColor="text1"/>
        </w:rPr>
        <w:instrText xml:space="preserve">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(Quinlan et al., 2018; Sparagon et al., 2024)</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On the other </w:t>
      </w:r>
      <w:r w:rsidRPr="00F0557B">
        <w:rPr>
          <w:rFonts w:ascii="Calibri" w:hAnsi="Calibri" w:cs="Calibri"/>
          <w:color w:val="000000" w:themeColor="text1"/>
        </w:rPr>
        <w:lastRenderedPageBreak/>
        <w:t>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68AE4ACE"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in-situ surveys to associate net organic matter release and microbial communities in the coral reef </w:t>
      </w:r>
      <w:commentRangeStart w:id="21"/>
      <w:r w:rsidRPr="00F0557B">
        <w:rPr>
          <w:rFonts w:ascii="Calibri" w:hAnsi="Calibri" w:cs="Calibri"/>
          <w:color w:val="000000" w:themeColor="text1"/>
        </w:rPr>
        <w:t>ecosystem</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{"citationID":"RKvhOAzR","properties":{"unsorted":false,"formattedCitation":"(Comstock et al., 2022; Haas et al., 2016; Nelson et al., 2011)","plainCitation":"(Comstock et al., 2022;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008523E2">
        <w:rPr>
          <w:rFonts w:ascii="Calibri" w:hAnsi="Calibri" w:cs="Calibri"/>
          <w:color w:val="000000" w:themeColor="text1"/>
        </w:rPr>
        <w:fldChar w:fldCharType="separate"/>
      </w:r>
      <w:r w:rsidR="005F3C48">
        <w:rPr>
          <w:rFonts w:ascii="Calibri" w:hAnsi="Calibri" w:cs="Calibri"/>
          <w:noProof/>
          <w:color w:val="000000" w:themeColor="text1"/>
        </w:rPr>
        <w:t>(Comstock et al., 2022; Haas et al., 2016; Nelson et al., 2011)</w:t>
      </w:r>
      <w:r w:rsidR="008523E2">
        <w:rPr>
          <w:rFonts w:ascii="Calibri" w:hAnsi="Calibri" w:cs="Calibri"/>
          <w:color w:val="000000" w:themeColor="text1"/>
        </w:rPr>
        <w:fldChar w:fldCharType="end"/>
      </w:r>
      <w:commentRangeEnd w:id="21"/>
      <w:r w:rsidR="005F3C48" w:rsidRPr="00F0557B">
        <w:rPr>
          <w:rStyle w:val="Marquedecommentaire"/>
          <w:rFonts w:ascii="Calibri" w:hAnsi="Calibri" w:cs="Calibri"/>
          <w:color w:val="000000" w:themeColor="text1"/>
          <w:sz w:val="24"/>
          <w:szCs w:val="24"/>
        </w:rPr>
        <w:commentReference w:id="21"/>
      </w:r>
      <w:r w:rsidRPr="00F0557B">
        <w:rPr>
          <w:rFonts w:ascii="Calibri" w:hAnsi="Calibri" w:cs="Calibri"/>
          <w:color w:val="000000" w:themeColor="text1"/>
        </w:rPr>
        <w:t>. No mesocosm experiment has been conducted to study links between mixed benthic community assemblages, organic outputs, microbially mediated processes, and bacterial community structure in coral-algal phase shift conditions.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w:t>
      </w:r>
      <w:r w:rsidRPr="00F0557B">
        <w:rPr>
          <w:rFonts w:ascii="Calibri" w:hAnsi="Calibri" w:cs="Calibri"/>
          <w:color w:val="000000" w:themeColor="text1"/>
        </w:rPr>
        <w:lastRenderedPageBreak/>
        <w:t>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2" w:name="_Toc232771511"/>
      <w:bookmarkStart w:id="23" w:name="_Toc234162413"/>
      <w:r w:rsidRPr="00F0557B">
        <w:rPr>
          <w:rFonts w:ascii="Calibri" w:hAnsi="Calibri" w:cs="Calibri"/>
          <w:b/>
          <w:bCs/>
          <w:color w:val="000000" w:themeColor="text1"/>
          <w:sz w:val="24"/>
          <w:szCs w:val="24"/>
        </w:rPr>
        <w:t>Project Objectives</w:t>
      </w:r>
      <w:bookmarkEnd w:id="22"/>
      <w:bookmarkEnd w:id="23"/>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4" w:name="_Toc232771512"/>
      <w:bookmarkStart w:id="25" w:name="_Toc234162414"/>
      <w:r w:rsidRPr="00F0557B">
        <w:rPr>
          <w:rFonts w:ascii="Calibri" w:hAnsi="Calibri" w:cs="Calibri"/>
          <w:b/>
          <w:bCs/>
          <w:color w:val="000000" w:themeColor="text1"/>
        </w:rPr>
        <w:lastRenderedPageBreak/>
        <w:t>Methods and Materials</w:t>
      </w:r>
      <w:bookmarkEnd w:id="24"/>
      <w:bookmarkEnd w:id="25"/>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6" w:name="_Toc232771513"/>
      <w:bookmarkStart w:id="27" w:name="_Toc234162415"/>
      <w:r w:rsidRPr="00F0557B">
        <w:rPr>
          <w:rFonts w:ascii="Calibri" w:hAnsi="Calibri" w:cs="Calibri"/>
          <w:b/>
          <w:bCs/>
          <w:color w:val="000000" w:themeColor="text1"/>
          <w:sz w:val="24"/>
          <w:szCs w:val="24"/>
        </w:rPr>
        <w:t>Site Description Overview</w:t>
      </w:r>
      <w:bookmarkEnd w:id="26"/>
      <w:bookmarkEnd w:id="27"/>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8" w:name="_Toc232771514"/>
      <w:bookmarkStart w:id="29" w:name="_Toc234162416"/>
      <w:r w:rsidRPr="00F0557B">
        <w:rPr>
          <w:rFonts w:ascii="Calibri" w:hAnsi="Calibri" w:cs="Calibri"/>
          <w:b/>
          <w:bCs/>
          <w:color w:val="000000" w:themeColor="text1"/>
          <w:sz w:val="24"/>
          <w:szCs w:val="24"/>
        </w:rPr>
        <w:t>Benthic Organism Collection for Mesocosm Communities</w:t>
      </w:r>
      <w:bookmarkEnd w:id="28"/>
      <w:bookmarkEnd w:id="29"/>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30"/>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30"/>
      <w:r w:rsidR="005F3C48" w:rsidRPr="00F0557B">
        <w:rPr>
          <w:rStyle w:val="Marquedecommentaire"/>
          <w:rFonts w:ascii="Calibri" w:hAnsi="Calibri" w:cs="Calibri"/>
          <w:color w:val="000000" w:themeColor="text1"/>
          <w:sz w:val="24"/>
          <w:szCs w:val="24"/>
        </w:rPr>
        <w:commentReference w:id="30"/>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1" w:name="_Toc232771515"/>
      <w:bookmarkStart w:id="32" w:name="_Toc234162417"/>
      <w:r w:rsidRPr="00F0557B">
        <w:rPr>
          <w:rFonts w:ascii="Calibri" w:hAnsi="Calibri" w:cs="Calibri"/>
          <w:b/>
          <w:bCs/>
          <w:color w:val="000000" w:themeColor="text1"/>
          <w:sz w:val="24"/>
          <w:szCs w:val="24"/>
        </w:rPr>
        <w:lastRenderedPageBreak/>
        <w:t>Mesocosm Experiment</w:t>
      </w:r>
      <w:r w:rsidRPr="00F0557B">
        <w:rPr>
          <w:rFonts w:ascii="Calibri" w:hAnsi="Calibri" w:cs="Calibri"/>
          <w:b/>
          <w:bCs/>
          <w:color w:val="000000" w:themeColor="text1"/>
          <w:sz w:val="24"/>
          <w:szCs w:val="24"/>
        </w:rPr>
        <w:t xml:space="preserve"> S</w:t>
      </w:r>
      <w:r w:rsidRPr="00F0557B">
        <w:rPr>
          <w:rFonts w:ascii="Calibri" w:hAnsi="Calibri" w:cs="Calibri"/>
          <w:b/>
          <w:bCs/>
          <w:color w:val="000000" w:themeColor="text1"/>
          <w:sz w:val="24"/>
          <w:szCs w:val="24"/>
        </w:rPr>
        <w:t xml:space="preserve">et </w:t>
      </w:r>
      <w:r w:rsidRPr="00F0557B">
        <w:rPr>
          <w:rFonts w:ascii="Calibri" w:hAnsi="Calibri" w:cs="Calibri"/>
          <w:b/>
          <w:bCs/>
          <w:color w:val="000000" w:themeColor="text1"/>
          <w:sz w:val="24"/>
          <w:szCs w:val="24"/>
        </w:rPr>
        <w:t>U</w:t>
      </w:r>
      <w:r w:rsidRPr="00F0557B">
        <w:rPr>
          <w:rFonts w:ascii="Calibri" w:hAnsi="Calibri" w:cs="Calibri"/>
          <w:b/>
          <w:bCs/>
          <w:color w:val="000000" w:themeColor="text1"/>
          <w:sz w:val="24"/>
          <w:szCs w:val="24"/>
        </w:rPr>
        <w:t>p</w:t>
      </w:r>
      <w:bookmarkEnd w:id="31"/>
      <w:bookmarkEnd w:id="32"/>
    </w:p>
    <w:p w14:paraId="5E59FE93" w14:textId="683407C3" w:rsidR="00794641"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3"/>
      <w:r w:rsidRPr="005F3C48">
        <w:rPr>
          <w:rFonts w:ascii="Calibri" w:hAnsi="Calibri" w:cs="Calibri"/>
          <w:b/>
          <w:bCs/>
          <w:color w:val="000000" w:themeColor="text1"/>
        </w:rPr>
        <w:t>XX</w:t>
      </w:r>
      <w:commentRangeEnd w:id="33"/>
      <w:r w:rsidR="005F3C48" w:rsidRPr="00F0557B">
        <w:rPr>
          <w:rStyle w:val="Marquedecommentaire"/>
          <w:rFonts w:ascii="Calibri" w:hAnsi="Calibri" w:cs="Calibri"/>
          <w:color w:val="000000" w:themeColor="text1"/>
          <w:sz w:val="24"/>
          <w:szCs w:val="24"/>
        </w:rPr>
        <w:commentReference w:id="33"/>
      </w:r>
      <w:r w:rsidRPr="00F0557B">
        <w:rPr>
          <w:rFonts w:ascii="Calibri" w:hAnsi="Calibri" w:cs="Calibri"/>
          <w:color w:val="000000" w:themeColor="text1"/>
        </w:rPr>
        <w:t xml:space="preserve">. Aquaria were placed in flow through water tables equipped with overhead pipes to supply seawater from Paopao Bay (Cook’s Bay). Mesocosms aimed to recreate benthic cover of the reefs of Moorea based on 2006, 2011 and 2019 LTER data. Coral-enriched aquaria represented a pre-disturbance state (44% coral, 34% rubble, 18% sand, 2% CCA, 2% </w:t>
      </w:r>
      <w:r w:rsidRPr="005F3C48">
        <w:rPr>
          <w:rFonts w:ascii="Calibri" w:hAnsi="Calibri" w:cs="Calibri"/>
          <w:i/>
          <w:iCs/>
          <w:color w:val="000000" w:themeColor="text1"/>
        </w:rPr>
        <w:t>Turbinaria</w:t>
      </w:r>
      <w:r w:rsidRPr="00F0557B">
        <w:rPr>
          <w:rFonts w:ascii="Calibri" w:hAnsi="Calibri" w:cs="Calibri"/>
          <w:color w:val="000000" w:themeColor="text1"/>
        </w:rPr>
        <w:t xml:space="preserve">). CCA-enriched tanks represented reefs post-Acanthaster planci outbreak and post-cyclonic disturbance (15% coral, 34% rubble, 25% sand, 25% CCA, 1% </w:t>
      </w:r>
      <w:r w:rsidRPr="005F3C48">
        <w:rPr>
          <w:rFonts w:ascii="Calibri" w:hAnsi="Calibri" w:cs="Calibri"/>
          <w:i/>
          <w:iCs/>
          <w:color w:val="000000" w:themeColor="text1"/>
        </w:rPr>
        <w:t>Turbinaria</w:t>
      </w:r>
      <w:r w:rsidRPr="00F0557B">
        <w:rPr>
          <w:rFonts w:ascii="Calibri" w:hAnsi="Calibri" w:cs="Calibri"/>
          <w:color w:val="000000" w:themeColor="text1"/>
        </w:rPr>
        <w:t xml:space="preserve">). Algae-enriched aquaria represented contemporary conditions (5% coral, 55% rubble, 20% sand, 0% CCA, 20% </w:t>
      </w:r>
      <w:r w:rsidRPr="005F3C48">
        <w:rPr>
          <w:rFonts w:ascii="Calibri" w:hAnsi="Calibri" w:cs="Calibri"/>
          <w:i/>
          <w:iCs/>
          <w:color w:val="000000" w:themeColor="text1"/>
        </w:rPr>
        <w:t>Turbinaria</w:t>
      </w:r>
      <w:r w:rsidRPr="00F0557B">
        <w:rPr>
          <w:rFonts w:ascii="Calibri" w:hAnsi="Calibri" w:cs="Calibri"/>
          <w:color w:val="000000" w:themeColor="text1"/>
        </w:rPr>
        <w:t>)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REF _Ref232772943 \h </w:instrText>
      </w:r>
      <w:r w:rsidR="005F3C48">
        <w:rPr>
          <w:rFonts w:ascii="Calibri" w:hAnsi="Calibri" w:cs="Calibri"/>
          <w:color w:val="000000" w:themeColor="text1"/>
        </w:rPr>
      </w:r>
      <w:r w:rsidR="005F3C48">
        <w:rPr>
          <w:rFonts w:ascii="Calibri" w:hAnsi="Calibri" w:cs="Calibri"/>
          <w:color w:val="000000" w:themeColor="text1"/>
        </w:rPr>
        <w:fldChar w:fldCharType="separate"/>
      </w:r>
      <w:r w:rsidR="005F3C48" w:rsidRPr="002C6AEE">
        <w:rPr>
          <w:i/>
          <w:iCs/>
        </w:rPr>
        <w:t xml:space="preserve">Figure </w:t>
      </w:r>
      <w:r w:rsidR="005F3C48" w:rsidRPr="002C6AEE">
        <w:rPr>
          <w:i/>
          <w:iCs/>
          <w:noProof/>
        </w:rPr>
        <w:t>1</w:t>
      </w:r>
      <w:r w:rsidR="005F3C48">
        <w:rPr>
          <w:rFonts w:ascii="Calibri" w:hAnsi="Calibri" w:cs="Calibri"/>
          <w:color w:val="000000" w:themeColor="text1"/>
        </w:rPr>
        <w:fldChar w:fldCharType="end"/>
      </w:r>
      <w:r w:rsidRPr="00F0557B">
        <w:rPr>
          <w:rFonts w:ascii="Calibri" w:hAnsi="Calibri" w:cs="Calibri"/>
          <w:color w:val="000000" w:themeColor="text1"/>
        </w:rPr>
        <w:t>). Additionally, seawater aquaria were used as control mesocosms; each treatment and control had four replicates distributed randomly on two flow-through water tables. 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65ADD88C" w14:textId="77777777" w:rsidR="005125EE" w:rsidRPr="005125EE" w:rsidRDefault="005125EE" w:rsidP="005125EE">
      <w:pPr>
        <w:spacing w:line="360" w:lineRule="auto"/>
        <w:ind w:firstLine="360"/>
        <w:rPr>
          <w:rFonts w:ascii="Calibri" w:hAnsi="Calibri" w:cs="Calibri"/>
          <w:i/>
          <w:iCs/>
          <w:color w:val="000000" w:themeColor="text1"/>
        </w:rPr>
      </w:pPr>
      <w:commentRangeStart w:id="34"/>
      <w:r w:rsidRPr="005125EE">
        <w:rPr>
          <w:rFonts w:ascii="Calibri" w:hAnsi="Calibri" w:cs="Calibri"/>
          <w:i/>
          <w:iCs/>
          <w:color w:val="000000" w:themeColor="text1"/>
          <w:highlight w:val="yellow"/>
        </w:rPr>
        <w:t>The 2-dimensional planar benthic cover of the mesocosms was manipulated to replicate the percent cover recorded in the LTER time series. In addition to our three benthic cover treatments, a seawater-only mesocosm was used as a control to distinguish natural seawater chemistry shifts from those caused by benthic assemblies.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Despite overhead roofing, light exposure was spatially uneven, with increased afternoon irradiance on one side of the facility.</w:t>
      </w:r>
      <w:commentRangeEnd w:id="34"/>
      <w:r w:rsidRPr="005125EE">
        <w:rPr>
          <w:rStyle w:val="Marquedecommentaire"/>
          <w:rFonts w:ascii="Calibri" w:hAnsi="Calibri" w:cs="Calibri"/>
          <w:i/>
          <w:iCs/>
          <w:color w:val="000000" w:themeColor="text1"/>
          <w:sz w:val="24"/>
          <w:szCs w:val="24"/>
        </w:rPr>
        <w:commentReference w:id="34"/>
      </w: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7" w:name="_Ref232772943"/>
                      <w:bookmarkStart w:id="3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407C911C"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9" w:name="_Toc232771516"/>
      <w:bookmarkStart w:id="40" w:name="_Toc234162418"/>
      <w:r w:rsidRPr="00F0557B">
        <w:rPr>
          <w:rFonts w:ascii="Calibri" w:hAnsi="Calibri" w:cs="Calibri"/>
          <w:b/>
          <w:bCs/>
          <w:color w:val="000000" w:themeColor="text1"/>
          <w:sz w:val="24"/>
          <w:szCs w:val="24"/>
        </w:rPr>
        <w:t xml:space="preserve">Water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 xml:space="preserve">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ollection</w:t>
      </w:r>
      <w:bookmarkEnd w:id="39"/>
      <w:bookmarkEnd w:id="40"/>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Throughout this experiment, we aimed to establish a comprehensive biogeochemical profile of the coral reef communities when exposed to our treatments. Using acid washed 1L poly-carbonate bottles, we collected bulk water samples from the mesocosms every 6 hours over 24-</w:t>
      </w:r>
      <w:r w:rsidRPr="00F0557B">
        <w:rPr>
          <w:rFonts w:ascii="Calibri" w:hAnsi="Calibri" w:cs="Calibri"/>
          <w:color w:val="000000" w:themeColor="text1"/>
        </w:rPr>
        <w:lastRenderedPageBreak/>
        <w:t xml:space="preserve">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41" w:name="_Toc232771517"/>
      <w:bookmarkStart w:id="42" w:name="_Toc234162419"/>
      <w:r w:rsidRPr="00F0557B">
        <w:rPr>
          <w:rFonts w:ascii="Calibri" w:hAnsi="Calibri" w:cs="Calibri"/>
          <w:b/>
          <w:bCs/>
          <w:color w:val="000000" w:themeColor="text1"/>
          <w:sz w:val="24"/>
          <w:szCs w:val="24"/>
        </w:rPr>
        <w:t xml:space="preserve">Subsample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ollection and Laboratory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nalysis</w:t>
      </w:r>
      <w:bookmarkEnd w:id="41"/>
      <w:bookmarkEnd w:id="42"/>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3" w:name="_Toc232771518"/>
      <w:bookmarkStart w:id="44" w:name="_Toc234162420"/>
      <w:r w:rsidRPr="00F0557B">
        <w:rPr>
          <w:rFonts w:ascii="Calibri" w:hAnsi="Calibri" w:cs="Calibri"/>
          <w:b/>
          <w:bCs/>
          <w:color w:val="000000" w:themeColor="text1"/>
          <w:sz w:val="24"/>
          <w:szCs w:val="24"/>
        </w:rPr>
        <w:t>Dissolved Organic Carbon (DOC)</w:t>
      </w:r>
      <w:bookmarkEnd w:id="43"/>
      <w:bookmarkEnd w:id="44"/>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45"/>
      <w:r w:rsidRPr="00F0557B">
        <w:rPr>
          <w:rFonts w:ascii="Calibri" w:hAnsi="Calibri" w:cs="Calibri"/>
          <w:color w:val="000000" w:themeColor="text1"/>
        </w:rPr>
        <w:t>140 µM; n= 72</w:t>
      </w:r>
      <w:commentRangeEnd w:id="45"/>
      <w:r w:rsidR="005125EE" w:rsidRPr="00F0557B">
        <w:rPr>
          <w:rStyle w:val="Marquedecommentaire"/>
          <w:rFonts w:ascii="Calibri" w:hAnsi="Calibri" w:cs="Calibri"/>
          <w:color w:val="000000" w:themeColor="text1"/>
          <w:sz w:val="24"/>
          <w:szCs w:val="24"/>
        </w:rPr>
        <w:commentReference w:id="45"/>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6" w:name="_Toc232771519"/>
      <w:bookmarkStart w:id="47" w:name="_Toc234162421"/>
      <w:r w:rsidRPr="00F0557B">
        <w:rPr>
          <w:rFonts w:ascii="Calibri" w:hAnsi="Calibri" w:cs="Calibri"/>
          <w:b/>
          <w:bCs/>
          <w:color w:val="000000" w:themeColor="text1"/>
          <w:sz w:val="24"/>
          <w:szCs w:val="24"/>
        </w:rPr>
        <w:t>Fluorescent Dissolved Organic Matter (fDOM) and Nutrients</w:t>
      </w:r>
      <w:bookmarkEnd w:id="46"/>
      <w:bookmarkEnd w:id="47"/>
    </w:p>
    <w:p w14:paraId="7EBAB526" w14:textId="640C331C"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{"citationID":"soLRc6QZ","properties":{"unsorted":false,"formattedCitation":"(Nelson et al., 2015)","plainCitation":"(Nelson et al., 2015)","noteIndex":0},"citationItems":[{"id":3765,"uris":["http://zotero.org/users/9067719/items/9CAXCLS7"],"itemData":{"id":3765,"type":"article-journal","abstract":"In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w:t>
      </w:r>
      <w:r w:rsidRPr="00F0557B">
        <w:rPr>
          <w:rFonts w:ascii="Calibri" w:hAnsi="Calibri" w:cs="Calibri"/>
          <w:color w:val="000000" w:themeColor="text1"/>
        </w:rPr>
        <w:t xml:space="preserve"> </w:t>
      </w:r>
      <w:r w:rsidRPr="00F0557B">
        <w:rPr>
          <w:rFonts w:ascii="Calibri" w:hAnsi="Calibri" w:cs="Calibri"/>
          <w:color w:val="000000" w:themeColor="text1"/>
        </w:rPr>
        <w:t>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8" w:name="_Toc232771520"/>
      <w:bookmarkStart w:id="49" w:name="_Toc234162422"/>
      <w:r w:rsidRPr="00F0557B">
        <w:rPr>
          <w:rFonts w:ascii="Calibri" w:hAnsi="Calibri" w:cs="Calibri"/>
          <w:b/>
          <w:bCs/>
          <w:color w:val="000000" w:themeColor="text1"/>
          <w:sz w:val="24"/>
          <w:szCs w:val="24"/>
        </w:rPr>
        <w:lastRenderedPageBreak/>
        <w:t>Chlorophyll-a</w:t>
      </w:r>
      <w:bookmarkEnd w:id="48"/>
      <w:bookmarkEnd w:id="49"/>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50"/>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50"/>
      <w:r w:rsidR="005125EE" w:rsidRPr="00F0557B">
        <w:rPr>
          <w:rStyle w:val="Marquedecommentaire"/>
          <w:rFonts w:ascii="Calibri" w:hAnsi="Calibri" w:cs="Calibri"/>
          <w:color w:val="000000" w:themeColor="text1"/>
          <w:sz w:val="24"/>
          <w:szCs w:val="24"/>
        </w:rPr>
        <w:commentReference w:id="50"/>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1" w:name="_Toc232771521"/>
      <w:bookmarkStart w:id="52" w:name="_Toc234162423"/>
      <w:r w:rsidRPr="00F0557B">
        <w:rPr>
          <w:rFonts w:ascii="Calibri" w:hAnsi="Calibri" w:cs="Calibri"/>
          <w:b/>
          <w:bCs/>
          <w:color w:val="000000" w:themeColor="text1"/>
          <w:sz w:val="24"/>
          <w:szCs w:val="24"/>
        </w:rPr>
        <w:t>Cell Abundance via Flow Cytometry</w:t>
      </w:r>
      <w:bookmarkEnd w:id="51"/>
      <w:bookmarkEnd w:id="52"/>
    </w:p>
    <w:p w14:paraId="150692D8" w14:textId="5FB38C6E"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{"citationID":"ZIr9q3u6","properties":{"unsorted":false,"formattedCitation":"(Selph, 2021)","plainCitation":"(Selph, 2021)","noteIndex":0},"citationItems":[{"id":6317,"uris":["http://zotero.org/users/9067719/items/PKYLCP3I"],"itemData":{"id":6317,"type":"article-journal","abstract":"A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3" w:name="_Toc232771522"/>
      <w:bookmarkStart w:id="54" w:name="_Toc234162424"/>
      <w:r w:rsidRPr="00F0557B">
        <w:rPr>
          <w:rFonts w:ascii="Calibri" w:hAnsi="Calibri" w:cs="Calibri"/>
          <w:b/>
          <w:bCs/>
          <w:color w:val="000000" w:themeColor="text1"/>
          <w:sz w:val="24"/>
          <w:szCs w:val="24"/>
        </w:rPr>
        <w:t>Bacterial Community Structure</w:t>
      </w:r>
      <w:bookmarkEnd w:id="53"/>
      <w:bookmarkEnd w:id="54"/>
    </w:p>
    <w:p w14:paraId="3BD28D81" w14:textId="21095FE0"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{"citationID":"Kk3FPa68","properties":{"unsorted":false,"formattedCitation":"(Jani et al., 2021)","plainCitation":"(Jani et al., 2021)","noteIndex":0},"citationItems":[{"id":6296,"uris":["http://zotero.org/users/9067719/items/WWSQNLX3"],"itemData":{"id":6296,"type":"article-journal","abstract":"Infectious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5" w:name="_Toc232771523"/>
      <w:bookmarkStart w:id="56" w:name="_Toc234162425"/>
      <w:r w:rsidRPr="00F0557B">
        <w:rPr>
          <w:rFonts w:ascii="Calibri" w:hAnsi="Calibri" w:cs="Calibri"/>
          <w:b/>
          <w:bCs/>
          <w:color w:val="000000" w:themeColor="text1"/>
          <w:sz w:val="24"/>
          <w:szCs w:val="24"/>
        </w:rPr>
        <w:t>Statistical Analysis</w:t>
      </w:r>
      <w:bookmarkEnd w:id="55"/>
      <w:bookmarkEnd w:id="56"/>
    </w:p>
    <w:p w14:paraId="0A84246E" w14:textId="538E70CF"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w:t>
      </w:r>
      <w:commentRangeStart w:id="57"/>
      <w:r w:rsidRPr="00F0557B">
        <w:rPr>
          <w:rFonts w:ascii="Calibri" w:hAnsi="Calibri" w:cs="Calibri"/>
          <w:color w:val="000000" w:themeColor="text1"/>
        </w:rPr>
        <w:t xml:space="preserve">outside of the x ± 2 sigma ranges </w:t>
      </w:r>
      <w:commentRangeEnd w:id="57"/>
      <w:r w:rsidR="005125EE" w:rsidRPr="00F0557B">
        <w:rPr>
          <w:rStyle w:val="Marquedecommentaire"/>
          <w:rFonts w:ascii="Calibri" w:hAnsi="Calibri" w:cs="Calibri"/>
          <w:color w:val="000000" w:themeColor="text1"/>
          <w:sz w:val="24"/>
          <w:szCs w:val="24"/>
        </w:rPr>
        <w:commentReference w:id="57"/>
      </w:r>
      <w:r w:rsidRPr="00F0557B">
        <w:rPr>
          <w:rFonts w:ascii="Calibri" w:hAnsi="Calibri" w:cs="Calibri"/>
          <w:color w:val="000000" w:themeColor="text1"/>
        </w:rPr>
        <w:t xml:space="preserve">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7170D8" w:rsidRPr="00F0557B">
        <w:rPr>
          <w:rFonts w:ascii="Calibri" w:hAnsi="Calibri" w:cs="Calibri"/>
          <w:color w:val="000000" w:themeColor="text1"/>
        </w:rPr>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fldChar w:fldCharType="separate"/>
      </w:r>
      <w:r w:rsidR="007170D8" w:rsidRPr="00F0557B">
        <w:rPr>
          <w:rFonts w:ascii="Calibri" w:hAnsi="Calibri" w:cs="Calibri"/>
          <w:i/>
          <w:iCs/>
        </w:rPr>
        <w:t>Fi</w:t>
      </w:r>
      <w:r w:rsidR="007170D8" w:rsidRPr="00F0557B">
        <w:rPr>
          <w:rFonts w:ascii="Calibri" w:hAnsi="Calibri" w:cs="Calibri"/>
          <w:i/>
          <w:iCs/>
        </w:rPr>
        <w:t>g</w:t>
      </w:r>
      <w:r w:rsidR="007170D8" w:rsidRPr="00F0557B">
        <w:rPr>
          <w:rFonts w:ascii="Calibri" w:hAnsi="Calibri" w:cs="Calibri"/>
          <w:i/>
          <w:iCs/>
        </w:rPr>
        <w:t xml:space="preserve">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w:t>
      </w:r>
      <w:commentRangeStart w:id="58"/>
      <w:r w:rsidRPr="00F0557B">
        <w:rPr>
          <w:rFonts w:ascii="Calibri" w:hAnsi="Calibri" w:cs="Calibri"/>
          <w:color w:val="000000" w:themeColor="text1"/>
        </w:rPr>
        <w:t xml:space="preserve">added as a predictor in linear mixed-effect models </w:t>
      </w:r>
      <w:commentRangeEnd w:id="58"/>
      <w:r w:rsidR="005125EE" w:rsidRPr="00F0557B">
        <w:rPr>
          <w:rStyle w:val="Marquedecommentaire"/>
          <w:rFonts w:ascii="Calibri" w:hAnsi="Calibri" w:cs="Calibri"/>
          <w:color w:val="000000" w:themeColor="text1"/>
          <w:sz w:val="24"/>
          <w:szCs w:val="24"/>
        </w:rPr>
        <w:commentReference w:id="58"/>
      </w:r>
      <w:r w:rsidRPr="00F0557B">
        <w:rPr>
          <w:rFonts w:ascii="Calibri" w:hAnsi="Calibri" w:cs="Calibri"/>
          <w:color w:val="000000" w:themeColor="text1"/>
        </w:rPr>
        <w:t>for robust statistical modeling. For models that had a significant fixed treatment effect, we used a Dunnett’s post hoc test to determine contrasts (</w:t>
      </w:r>
      <w:r w:rsidRPr="004A3DE3">
        <w:rPr>
          <w:rFonts w:ascii="Calibri" w:hAnsi="Calibri" w:cs="Calibri"/>
          <w:color w:val="000000" w:themeColor="text1"/>
          <w:highlight w:val="yellow"/>
        </w:rPr>
        <w:t>R package emmeans</w:t>
      </w:r>
      <w:r w:rsidRPr="00F0557B">
        <w:rPr>
          <w:rFonts w:ascii="Calibri" w:hAnsi="Calibri" w:cs="Calibri"/>
          <w:color w:val="000000" w:themeColor="text1"/>
        </w:rPr>
        <w:t>). Additionally, we also calculated contrast effect size (</w:t>
      </w:r>
      <w:commentRangeStart w:id="59"/>
      <w:r w:rsidRPr="00F0557B">
        <w:rPr>
          <w:rFonts w:ascii="Calibri" w:hAnsi="Calibri" w:cs="Calibri"/>
          <w:color w:val="000000" w:themeColor="text1"/>
        </w:rPr>
        <w:t>Cohen’s D</w:t>
      </w:r>
      <w:commentRangeEnd w:id="59"/>
      <w:r w:rsidR="005125EE" w:rsidRPr="00F0557B">
        <w:rPr>
          <w:rStyle w:val="Marquedecommentaire"/>
          <w:rFonts w:ascii="Calibri" w:hAnsi="Calibri" w:cs="Calibri"/>
          <w:color w:val="000000" w:themeColor="text1"/>
          <w:sz w:val="24"/>
          <w:szCs w:val="24"/>
        </w:rPr>
        <w:commentReference w:id="59"/>
      </w:r>
      <w:r w:rsidRPr="00F0557B">
        <w:rPr>
          <w:rFonts w:ascii="Calibri" w:hAnsi="Calibri" w:cs="Calibri"/>
          <w:color w:val="000000" w:themeColor="text1"/>
        </w:rPr>
        <w:t xml:space="preserve">, i.e., d) to evaluate the magnitude of the difference between seawater control and treatments. Figures were </w:t>
      </w:r>
      <w:r w:rsidRPr="00F0557B">
        <w:rPr>
          <w:rFonts w:ascii="Calibri" w:hAnsi="Calibri" w:cs="Calibri"/>
          <w:color w:val="000000" w:themeColor="text1"/>
        </w:rPr>
        <w:lastRenderedPageBreak/>
        <w:t xml:space="preserve">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commentRangeStart w:id="60"/>
      <w:r w:rsidRPr="004A3DE3">
        <w:rPr>
          <w:rFonts w:ascii="Calibri" w:hAnsi="Calibri" w:cs="Calibri"/>
          <w:color w:val="000000" w:themeColor="text1"/>
          <w:highlight w:val="yellow"/>
        </w:rPr>
        <w:t>packages</w:t>
      </w:r>
      <w:r w:rsidR="004A3DE3" w:rsidRPr="004A3DE3">
        <w:rPr>
          <w:rFonts w:ascii="Calibri" w:hAnsi="Calibri" w:cs="Calibri"/>
          <w:color w:val="000000" w:themeColor="text1"/>
          <w:highlight w:val="yellow"/>
        </w:rPr>
        <w:t xml:space="preserve"> </w:t>
      </w:r>
      <w:r w:rsidR="004A3DE3" w:rsidRPr="004A3DE3">
        <w:rPr>
          <w:rFonts w:ascii="Calibri" w:hAnsi="Calibri" w:cs="Calibri"/>
          <w:color w:val="000000" w:themeColor="text1"/>
          <w:highlight w:val="yellow"/>
        </w:rPr>
        <w:fldChar w:fldCharType="begin"/>
      </w:r>
      <w:r w:rsidR="004A3DE3" w:rsidRPr="004A3DE3">
        <w:rPr>
          <w:rFonts w:ascii="Calibri" w:hAnsi="Calibri" w:cs="Calibri"/>
          <w:color w:val="000000" w:themeColor="text1"/>
          <w:highlight w:val="yellow"/>
        </w:rPr>
        <w:instrText xml:space="preserve"> ADDIN ZOTERO_ITEM CSL_CITATION {"citationID":"sjhnxVh0","properties":{"unsorted":false,"formattedCitation":"(Wickham, 2016)","plainCitation":"(Wickham, 2016)","noteIndex":0},"citationItems":[{"id":6316,"uris":["http://zotero.org/users/9067719/items/24QLI7KN"],"itemData":{"id":6316,"type":"book","citation-key":"wickhamGgplot2ElegantGraphics2016","ISBN":"978-3-319-24277-4","publisher":"Springer-Verlag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4A3DE3" w:rsidRPr="004A3DE3">
        <w:rPr>
          <w:rFonts w:ascii="Calibri" w:hAnsi="Calibri" w:cs="Calibri"/>
          <w:color w:val="000000" w:themeColor="text1"/>
          <w:highlight w:val="yellow"/>
        </w:rPr>
        <w:fldChar w:fldCharType="separate"/>
      </w:r>
      <w:r w:rsidR="004A3DE3" w:rsidRPr="004A3DE3">
        <w:rPr>
          <w:rFonts w:ascii="Calibri" w:hAnsi="Calibri" w:cs="Calibri"/>
          <w:noProof/>
          <w:color w:val="000000" w:themeColor="text1"/>
          <w:highlight w:val="yellow"/>
        </w:rPr>
        <w:t>(Wickham, 2016)</w:t>
      </w:r>
      <w:r w:rsidR="004A3DE3" w:rsidRPr="004A3DE3">
        <w:rPr>
          <w:rFonts w:ascii="Calibri" w:hAnsi="Calibri" w:cs="Calibri"/>
          <w:color w:val="000000" w:themeColor="text1"/>
          <w:highlight w:val="yellow"/>
        </w:rPr>
        <w:fldChar w:fldCharType="end"/>
      </w:r>
      <w:r w:rsidRPr="004A3DE3">
        <w:rPr>
          <w:rFonts w:ascii="Calibri" w:hAnsi="Calibri" w:cs="Calibri"/>
          <w:color w:val="000000" w:themeColor="text1"/>
          <w:highlight w:val="yellow"/>
        </w:rPr>
        <w:t xml:space="preserve"> (Pedersen 2025; Wickham 2016</w:t>
      </w:r>
      <w:commentRangeEnd w:id="60"/>
      <w:r w:rsidR="004A3DE3" w:rsidRPr="004A3DE3">
        <w:rPr>
          <w:rStyle w:val="Marquedecommentaire"/>
          <w:rFonts w:ascii="Calibri" w:hAnsi="Calibri" w:cs="Calibri"/>
          <w:color w:val="000000" w:themeColor="text1"/>
          <w:sz w:val="24"/>
          <w:szCs w:val="24"/>
          <w:highlight w:val="yellow"/>
        </w:rPr>
        <w:commentReference w:id="60"/>
      </w:r>
      <w:r w:rsidRPr="004A3DE3">
        <w:rPr>
          <w:rFonts w:ascii="Calibri" w:hAnsi="Calibri" w:cs="Calibri"/>
          <w:color w:val="000000" w:themeColor="text1"/>
          <w:highlight w:val="yellow"/>
        </w:rPr>
        <w:t>)</w:t>
      </w:r>
      <w:r w:rsidRPr="00F0557B">
        <w:rPr>
          <w:rFonts w:ascii="Calibri" w:hAnsi="Calibri" w:cs="Calibri"/>
          <w:color w:val="000000" w:themeColor="text1"/>
        </w:rPr>
        <w:t xml:space="preserve">. To understand changes in bacterial community composition, we ran a PERMANOVA model using adonis2() from the package </w:t>
      </w:r>
      <w:r w:rsidRPr="004A3DE3">
        <w:rPr>
          <w:rFonts w:ascii="Calibri" w:hAnsi="Calibri" w:cs="Calibri"/>
          <w:i/>
          <w:iCs/>
          <w:color w:val="000000" w:themeColor="text1"/>
        </w:rPr>
        <w:t>vegan</w:t>
      </w:r>
      <w:r w:rsidRPr="00F0557B">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(Oksanen et al., 2026)</w:t>
      </w:r>
      <w:r w:rsidR="004A3DE3">
        <w:rPr>
          <w:rFonts w:ascii="Calibri" w:hAnsi="Calibri" w:cs="Calibri"/>
          <w:color w:val="000000" w:themeColor="text1"/>
        </w:rPr>
        <w:fldChar w:fldCharType="end"/>
      </w:r>
      <w:r w:rsidRPr="00F0557B">
        <w:rPr>
          <w:rFonts w:ascii="Calibri" w:hAnsi="Calibri" w:cs="Calibri"/>
          <w:color w:val="000000" w:themeColor="text1"/>
        </w:rPr>
        <w:t xml:space="preserve">. We used the weighted Unifrac distance matrix generated from the MetaFlow|mics pipeline with </w:t>
      </w:r>
      <w:commentRangeStart w:id="61"/>
      <w:r w:rsidRPr="00F0557B">
        <w:rPr>
          <w:rFonts w:ascii="Calibri" w:hAnsi="Calibri" w:cs="Calibri"/>
          <w:color w:val="000000" w:themeColor="text1"/>
        </w:rPr>
        <w:t>treatments, sampling time point</w:t>
      </w:r>
      <w:commentRangeEnd w:id="61"/>
      <w:r w:rsidR="005125EE" w:rsidRPr="00F0557B">
        <w:rPr>
          <w:rStyle w:val="Marquedecommentaire"/>
          <w:rFonts w:ascii="Calibri" w:hAnsi="Calibri" w:cs="Calibri"/>
          <w:color w:val="000000" w:themeColor="text1"/>
          <w:sz w:val="24"/>
          <w:szCs w:val="24"/>
        </w:rPr>
        <w:commentReference w:id="61"/>
      </w:r>
      <w:r w:rsidRPr="00F0557B">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vegan package.</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62" w:name="_Toc232771524"/>
      <w:bookmarkStart w:id="63" w:name="_Toc234162426"/>
      <w:commentRangeStart w:id="64"/>
      <w:r w:rsidRPr="00F0557B">
        <w:rPr>
          <w:rFonts w:ascii="Calibri" w:hAnsi="Calibri" w:cs="Calibri"/>
          <w:b/>
          <w:bCs/>
          <w:color w:val="000000" w:themeColor="text1"/>
        </w:rPr>
        <w:lastRenderedPageBreak/>
        <w:t>Results</w:t>
      </w:r>
      <w:bookmarkEnd w:id="62"/>
      <w:bookmarkEnd w:id="63"/>
      <w:commentRangeEnd w:id="64"/>
      <w:r w:rsidR="004A3DE3" w:rsidRPr="00F3107C">
        <w:rPr>
          <w:rStyle w:val="Marquedecommentaire"/>
          <w:rFonts w:ascii="Calibri" w:hAnsi="Calibri" w:cs="Calibri"/>
          <w:b/>
          <w:bCs/>
          <w:color w:val="000000" w:themeColor="text1"/>
          <w:sz w:val="40"/>
          <w:szCs w:val="40"/>
        </w:rPr>
        <w:commentReference w:id="64"/>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65" w:name="_Toc232771525"/>
      <w:bookmarkStart w:id="66" w:name="_Toc234162427"/>
      <w:r>
        <w:rPr>
          <w:rFonts w:ascii="Calibri" w:hAnsi="Calibri" w:cs="Calibri"/>
          <w:b/>
          <w:bCs/>
          <w:color w:val="000000" w:themeColor="text1"/>
          <w:sz w:val="24"/>
          <w:szCs w:val="24"/>
        </w:rPr>
        <w:t xml:space="preserve">Inorganic Chemistry </w:t>
      </w:r>
      <w:bookmarkEnd w:id="65"/>
      <w:bookmarkEnd w:id="66"/>
    </w:p>
    <w:p w14:paraId="20414B97" w14:textId="55DFEC1F"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 xml:space="preserve">were measured to assess the net nutrient uptake of mixed communities and across </w:t>
      </w:r>
      <w:r w:rsidR="00B17216" w:rsidRPr="00B17216">
        <w:rPr>
          <w:rFonts w:ascii="Calibri" w:hAnsi="Calibri" w:cs="Calibri"/>
          <w:color w:val="000000" w:themeColor="text1"/>
        </w:rPr>
        <w:t xml:space="preserve">four sampling time point over a 24h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sidRPr="00B17216">
        <w:rPr>
          <w:rFonts w:ascii="Calibri" w:hAnsi="Calibri" w:cs="Calibri"/>
          <w:color w:val="000000" w:themeColor="text1"/>
        </w:rPr>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 xml:space="preserve">F=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B17216" w:rsidRPr="00B17216">
        <w:rPr>
          <w:rFonts w:ascii="Calibri" w:hAnsi="Calibri" w:cs="Calibri"/>
          <w:color w:val="000000" w:themeColor="text1"/>
        </w:rPr>
        <w:t>, while the other nutrients do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&gt;0.05). A</w:t>
      </w:r>
      <w:r w:rsidRPr="00B17216">
        <w:rPr>
          <w:rFonts w:ascii="Calibri" w:hAnsi="Calibri" w:cs="Calibri"/>
          <w:color w:val="000000" w:themeColor="text1"/>
        </w:rPr>
        <w:t xml:space="preserve">ll </w:t>
      </w:r>
      <w:r w:rsidR="00B17216" w:rsidRPr="00B17216">
        <w:rPr>
          <w:rFonts w:ascii="Calibri" w:hAnsi="Calibri" w:cs="Calibri"/>
          <w:color w:val="000000" w:themeColor="text1"/>
        </w:rPr>
        <w:t xml:space="preserve">nutrients </w:t>
      </w:r>
      <w:r w:rsidRPr="00B17216">
        <w:rPr>
          <w:rFonts w:ascii="Calibri" w:hAnsi="Calibri" w:cs="Calibri"/>
          <w:color w:val="000000" w:themeColor="text1"/>
        </w:rPr>
        <w:t xml:space="preserve"> significantly differed among sampling time points (</w:t>
      </w:r>
      <w:commentRangeStart w:id="67"/>
      <w:r w:rsidRPr="00B17216">
        <w:rPr>
          <w:rFonts w:ascii="Calibri" w:hAnsi="Calibri" w:cs="Calibri"/>
          <w:color w:val="000000" w:themeColor="text1"/>
        </w:rPr>
        <w:t>Supplemental Table 6.3</w:t>
      </w:r>
      <w:commentRangeEnd w:id="67"/>
      <w:r w:rsidR="00F3107C" w:rsidRPr="00B17216">
        <w:rPr>
          <w:rStyle w:val="Marquedecommentaire"/>
          <w:rFonts w:ascii="Calibri" w:hAnsi="Calibri" w:cs="Calibri"/>
          <w:color w:val="000000" w:themeColor="text1"/>
          <w:sz w:val="24"/>
          <w:szCs w:val="24"/>
        </w:rPr>
        <w:commentReference w:id="67"/>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Silicate showed signifciant treatment and time interaction (F= 2.31, p&lt;0.05).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difference between the CCA-enriched treatment </w:t>
      </w:r>
      <w:r w:rsidR="00B17216" w:rsidRPr="00B17216">
        <w:rPr>
          <w:rFonts w:ascii="Calibri" w:hAnsi="Calibri" w:cs="Calibri"/>
          <w:color w:val="000000" w:themeColor="text1"/>
        </w:rPr>
        <w:t xml:space="preserve">and seawater control </w:t>
      </w:r>
      <w:r w:rsidR="00B17216" w:rsidRPr="00B17216">
        <w:rPr>
          <w:rFonts w:ascii="Calibri" w:hAnsi="Calibri" w:cs="Calibri"/>
          <w:color w:val="000000" w:themeColor="text1"/>
        </w:rPr>
        <w:t xml:space="preserve">(p&lt;0.05).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w:t>
      </w:r>
      <w:r w:rsidR="00B17216" w:rsidRPr="00B17216">
        <w:rPr>
          <w:rFonts w:ascii="Calibri" w:hAnsi="Calibri" w:cs="Calibri"/>
          <w:color w:val="000000" w:themeColor="text1"/>
        </w:rPr>
        <w:t>orthophosphate, nitrate</w:t>
      </w:r>
      <w:r w:rsidR="00B17216" w:rsidRPr="00B17216">
        <w:rPr>
          <w:rFonts w:ascii="Calibri" w:hAnsi="Calibri" w:cs="Calibri"/>
          <w:color w:val="000000" w:themeColor="text1"/>
        </w:rPr>
        <w:t>, and</w:t>
      </w:r>
      <w:r w:rsidR="00B17216" w:rsidRPr="00B17216">
        <w:rPr>
          <w:rFonts w:ascii="Calibri" w:hAnsi="Calibri" w:cs="Calibri"/>
          <w:color w:val="000000" w:themeColor="text1"/>
        </w:rPr>
        <w:t xml:space="preserve">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commentRangeStart w:id="68"/>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commentRangeEnd w:id="68"/>
      <w:r w:rsidR="00F3107C" w:rsidRPr="00B17216">
        <w:rPr>
          <w:rStyle w:val="Marquedecommentaire"/>
          <w:rFonts w:ascii="Calibri" w:hAnsi="Calibri" w:cs="Calibri"/>
          <w:color w:val="000000" w:themeColor="text1"/>
          <w:sz w:val="24"/>
          <w:szCs w:val="24"/>
        </w:rPr>
        <w:commentReference w:id="68"/>
      </w:r>
      <w:r w:rsidR="00B17216" w:rsidRPr="00B17216">
        <w:rPr>
          <w:rFonts w:ascii="Calibri" w:hAnsi="Calibri" w:cs="Calibri"/>
          <w:color w:val="000000" w:themeColor="text1"/>
        </w:rPr>
        <w:t xml:space="preserve"> However, silicate is exhibiting variations driven 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69" w:name="_Toc234162440"/>
      <w:bookmarkStart w:id="70" w:name="_Ref234488538"/>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70"/>
      <w:r w:rsidRPr="00F554F4">
        <w:rPr>
          <w:rFonts w:ascii="Calibri" w:hAnsi="Calibri" w:cs="Calibri"/>
          <w:b/>
          <w:bCs/>
          <w:sz w:val="24"/>
          <w:szCs w:val="24"/>
        </w:rPr>
        <w:t>: Nutrient variations by treatment and sampling time.</w:t>
      </w:r>
      <w:bookmarkEnd w:id="69"/>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71" w:name="_Toc232771526"/>
      <w:bookmarkStart w:id="72" w:name="_Toc234162428"/>
      <w:r w:rsidRPr="00F0557B">
        <w:rPr>
          <w:rFonts w:ascii="Calibri" w:hAnsi="Calibri" w:cs="Calibri"/>
          <w:b/>
          <w:bCs/>
          <w:color w:val="000000" w:themeColor="text1"/>
          <w:sz w:val="24"/>
          <w:szCs w:val="24"/>
        </w:rPr>
        <w:t>Organic Matter Exudation Rates in Mixed Benthic Communities</w:t>
      </w:r>
      <w:bookmarkEnd w:id="71"/>
      <w:bookmarkEnd w:id="72"/>
    </w:p>
    <w:p w14:paraId="091776EE" w14:textId="1E9CAB2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humidication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 xml:space="preserve">that algae-enriched treatments were associated with significant enrichment of </w:t>
      </w:r>
      <w:r w:rsidR="00B17216" w:rsidRPr="00B17216">
        <w:rPr>
          <w:rFonts w:ascii="Calibri" w:hAnsi="Calibri" w:cs="Calibri"/>
          <w:color w:val="000000" w:themeColor="text1"/>
        </w:rPr>
        <w:t>coble C index</w:t>
      </w:r>
      <w:r w:rsidR="00B17216" w:rsidRPr="00B17216">
        <w:rPr>
          <w:rFonts w:ascii="Calibri" w:hAnsi="Calibri" w:cs="Calibri"/>
          <w:color w:val="000000" w:themeColor="text1"/>
        </w:rPr>
        <w:t xml:space="preserve"> (p = 0.02) and depletion of M:C ratio (p&lt;0.05),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depleted in CCA-enriched treatments (p &lt;0.05).</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(p&gt;0.05).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CCA-enriched communities exhibited a shift in </w:t>
      </w:r>
      <w:r w:rsidR="00B17216" w:rsidRPr="00B17216">
        <w:rPr>
          <w:rFonts w:ascii="Calibri" w:hAnsi="Calibri" w:cs="Calibri"/>
          <w:color w:val="000000" w:themeColor="text1"/>
        </w:rPr>
        <w:t xml:space="preserve">organic </w:t>
      </w:r>
      <w:r w:rsidR="00B17216" w:rsidRPr="00B17216">
        <w:rPr>
          <w:rFonts w:ascii="Calibri" w:hAnsi="Calibri" w:cs="Calibri"/>
          <w:color w:val="000000" w:themeColor="text1"/>
        </w:rPr>
        <w:t>exudate composition</w:t>
      </w:r>
      <w:r w:rsidR="00B17216" w:rsidRPr="00B17216">
        <w:rPr>
          <w:rFonts w:ascii="Calibri" w:hAnsi="Calibri" w:cs="Calibri"/>
          <w:color w:val="000000" w:themeColor="text1"/>
        </w:rPr>
        <w:t xml:space="preserve"> consistent over sampling times, although to</w:t>
      </w:r>
      <w:r w:rsidR="00B17216" w:rsidRPr="00B17216">
        <w:rPr>
          <w:rFonts w:ascii="Calibri" w:hAnsi="Calibri" w:cs="Calibri"/>
          <w:color w:val="000000" w:themeColor="text1"/>
        </w:rPr>
        <w:t xml:space="preserve"> a lesser extend than the one observed in to the algal treatment</w:t>
      </w:r>
      <w:r w:rsidR="00B17216" w:rsidRPr="00B17216">
        <w:rPr>
          <w:rFonts w:ascii="Calibri" w:hAnsi="Calibri" w:cs="Calibri"/>
          <w:color w:val="000000" w:themeColor="text1"/>
        </w:rPr>
        <w:t>. 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w:t>
      </w:r>
      <w:r w:rsidR="00B17216" w:rsidRPr="00B17216">
        <w:rPr>
          <w:rFonts w:ascii="Calibri" w:hAnsi="Calibri" w:cs="Calibri"/>
          <w:color w:val="000000" w:themeColor="text1"/>
        </w:rPr>
        <w:t>compositional</w:t>
      </w:r>
      <w:r w:rsidR="00B17216" w:rsidRPr="00B17216">
        <w:rPr>
          <w:rFonts w:ascii="Calibri" w:hAnsi="Calibri" w:cs="Calibri"/>
          <w:color w:val="000000" w:themeColor="text1"/>
        </w:rPr>
        <w:t>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73"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73"/>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4" w:name="_Toc232771527"/>
      <w:bookmarkStart w:id="75" w:name="_Toc234162429"/>
      <w:r w:rsidRPr="00F0557B">
        <w:rPr>
          <w:rFonts w:ascii="Calibri" w:hAnsi="Calibri" w:cs="Calibri"/>
          <w:b/>
          <w:bCs/>
          <w:color w:val="000000" w:themeColor="text1"/>
          <w:sz w:val="24"/>
          <w:szCs w:val="24"/>
        </w:rPr>
        <w:t>Bacterial Abundance and Chlorophyll-a</w:t>
      </w:r>
      <w:bookmarkEnd w:id="74"/>
      <w:bookmarkEnd w:id="75"/>
    </w:p>
    <w:p w14:paraId="538C1070" w14:textId="468B4058" w:rsidR="0013065B" w:rsidRPr="00061013" w:rsidRDefault="00446AAF" w:rsidP="00446AAF">
      <w:pPr>
        <w:spacing w:line="360" w:lineRule="auto"/>
        <w:ind w:firstLine="360"/>
        <w:rPr>
          <w:rFonts w:ascii="Comic Sans MS" w:hAnsi="Comic Sans MS" w:cs="Calibri"/>
          <w:color w:val="000000" w:themeColor="text1"/>
        </w:rPr>
      </w:pPr>
      <w:r>
        <w:rPr>
          <w:rFonts w:ascii="Comic Sans MS" w:hAnsi="Comic Sans MS" w:cs="Calibri"/>
          <w:color w:val="000000" w:themeColor="text1"/>
        </w:rPr>
        <w:t>We measured c</w:t>
      </w:r>
      <w:r w:rsidR="0013065B" w:rsidRPr="00061013">
        <w:rPr>
          <w:rFonts w:ascii="Comic Sans MS" w:hAnsi="Comic Sans MS" w:cs="Calibri"/>
          <w:color w:val="000000" w:themeColor="text1"/>
        </w:rPr>
        <w:t xml:space="preserve">ell counts </w:t>
      </w:r>
      <w:r>
        <w:rPr>
          <w:rFonts w:ascii="Comic Sans MS" w:hAnsi="Comic Sans MS" w:cs="Calibri"/>
          <w:color w:val="000000" w:themeColor="text1"/>
        </w:rPr>
        <w:t xml:space="preserve">of </w:t>
      </w:r>
      <w:r>
        <w:rPr>
          <w:rFonts w:ascii="Comic Sans MS" w:hAnsi="Comic Sans MS" w:cs="Calibri"/>
          <w:color w:val="000000" w:themeColor="text1"/>
        </w:rPr>
        <w:t xml:space="preserve">heterotrophic bacteria, pico eukaryotes, </w:t>
      </w:r>
      <w:r w:rsidRPr="00446AAF">
        <w:rPr>
          <w:rFonts w:ascii="Comic Sans MS" w:hAnsi="Comic Sans MS" w:cs="Calibri"/>
          <w:i/>
          <w:iCs/>
          <w:color w:val="000000" w:themeColor="text1"/>
        </w:rPr>
        <w:t>Synechococcus</w:t>
      </w:r>
      <w:r>
        <w:rPr>
          <w:rFonts w:ascii="Comic Sans MS" w:hAnsi="Comic Sans MS" w:cs="Calibri"/>
          <w:color w:val="000000" w:themeColor="text1"/>
        </w:rPr>
        <w:t xml:space="preserve">, </w:t>
      </w:r>
      <w:r>
        <w:rPr>
          <w:rFonts w:ascii="Comic Sans MS" w:hAnsi="Comic Sans MS" w:cs="Calibri"/>
          <w:color w:val="000000" w:themeColor="text1"/>
        </w:rPr>
        <w:t xml:space="preserve">and </w:t>
      </w:r>
      <w:r w:rsidRPr="00446AAF">
        <w:rPr>
          <w:rFonts w:ascii="Comic Sans MS" w:hAnsi="Comic Sans MS" w:cs="Calibri"/>
          <w:i/>
          <w:iCs/>
          <w:color w:val="000000" w:themeColor="text1"/>
        </w:rPr>
        <w:t>Prochlorococcus</w:t>
      </w:r>
      <w:r>
        <w:rPr>
          <w:rFonts w:ascii="Comic Sans MS" w:hAnsi="Comic Sans MS" w:cs="Calibri"/>
          <w:color w:val="000000" w:themeColor="text1"/>
        </w:rPr>
        <w:t xml:space="preserve"> and </w:t>
      </w:r>
      <w:r>
        <w:rPr>
          <w:rFonts w:ascii="Comic Sans MS" w:hAnsi="Comic Sans MS" w:cs="Calibri"/>
          <w:color w:val="000000" w:themeColor="text1"/>
        </w:rPr>
        <w:t>water column chlorophyll-a</w:t>
      </w:r>
      <w:r>
        <w:rPr>
          <w:rFonts w:ascii="Comic Sans MS" w:hAnsi="Comic Sans MS" w:cs="Calibri"/>
          <w:color w:val="000000" w:themeColor="text1"/>
        </w:rPr>
        <w:t xml:space="preserve"> concentration</w:t>
      </w:r>
      <w:r>
        <w:rPr>
          <w:rFonts w:ascii="Comic Sans MS" w:hAnsi="Comic Sans MS" w:cs="Calibri"/>
          <w:color w:val="000000" w:themeColor="text1"/>
        </w:rPr>
        <w:t xml:space="preserve"> </w:t>
      </w:r>
      <w:r w:rsidR="0013065B" w:rsidRPr="00061013">
        <w:rPr>
          <w:rFonts w:ascii="Comic Sans MS" w:hAnsi="Comic Sans MS" w:cs="Calibri"/>
          <w:color w:val="000000" w:themeColor="text1"/>
        </w:rPr>
        <w:t xml:space="preserve">to assess the effects of mixed reef communities on </w:t>
      </w:r>
      <w:r>
        <w:rPr>
          <w:rFonts w:ascii="Comic Sans MS" w:hAnsi="Comic Sans MS" w:cs="Calibri"/>
          <w:color w:val="000000" w:themeColor="text1"/>
        </w:rPr>
        <w:t>microbial</w:t>
      </w:r>
      <w:r w:rsidR="0013065B" w:rsidRPr="00061013">
        <w:rPr>
          <w:rFonts w:ascii="Comic Sans MS" w:hAnsi="Comic Sans MS" w:cs="Calibri"/>
          <w:color w:val="000000" w:themeColor="text1"/>
        </w:rPr>
        <w:t xml:space="preserve"> abundance across a </w:t>
      </w:r>
      <w:r w:rsidR="0013065B" w:rsidRPr="00061013">
        <w:rPr>
          <w:rFonts w:ascii="Comic Sans MS" w:hAnsi="Comic Sans MS" w:cs="Calibri"/>
          <w:color w:val="000000" w:themeColor="text1"/>
        </w:rPr>
        <w:lastRenderedPageBreak/>
        <w:t>diel sampling period</w:t>
      </w:r>
      <w:r>
        <w:rPr>
          <w:rFonts w:ascii="Comic Sans MS" w:hAnsi="Comic Sans MS" w:cs="Calibri"/>
          <w:color w:val="000000" w:themeColor="text1"/>
        </w:rPr>
        <w:t>.</w:t>
      </w:r>
      <w:r w:rsidR="0013065B" w:rsidRPr="00061013">
        <w:rPr>
          <w:rFonts w:ascii="Comic Sans MS" w:hAnsi="Comic Sans MS" w:cs="Calibri"/>
          <w:color w:val="000000" w:themeColor="text1"/>
        </w:rPr>
        <w:t xml:space="preserve"> Heterotrophic bacteria and </w:t>
      </w:r>
      <w:r w:rsidR="0013065B" w:rsidRPr="00061013">
        <w:rPr>
          <w:rFonts w:ascii="Comic Sans MS" w:hAnsi="Comic Sans MS" w:cs="Calibri"/>
          <w:i/>
          <w:iCs/>
          <w:color w:val="000000" w:themeColor="text1"/>
        </w:rPr>
        <w:t>Synechococcus</w:t>
      </w:r>
      <w:r w:rsidR="0013065B" w:rsidRPr="00061013">
        <w:rPr>
          <w:rFonts w:ascii="Comic Sans MS" w:hAnsi="Comic Sans MS" w:cs="Calibri"/>
          <w:color w:val="000000" w:themeColor="text1"/>
        </w:rPr>
        <w:t xml:space="preserve"> exhibited significant treatment effects (Heterotrophic bacteria: F= </w:t>
      </w:r>
      <w:r>
        <w:rPr>
          <w:rFonts w:ascii="Comic Sans MS" w:hAnsi="Comic Sans MS" w:cs="Calibri"/>
          <w:color w:val="000000" w:themeColor="text1"/>
        </w:rPr>
        <w:t>13.7</w:t>
      </w:r>
      <w:r w:rsidR="0013065B" w:rsidRPr="00061013">
        <w:rPr>
          <w:rFonts w:ascii="Comic Sans MS" w:hAnsi="Comic Sans MS" w:cs="Calibri"/>
          <w:color w:val="000000" w:themeColor="text1"/>
        </w:rPr>
        <w:t xml:space="preserve">, p &lt;0.05; </w:t>
      </w:r>
      <w:r w:rsidR="0013065B" w:rsidRPr="00061013">
        <w:rPr>
          <w:rFonts w:ascii="Comic Sans MS" w:hAnsi="Comic Sans MS" w:cs="Calibri"/>
          <w:i/>
          <w:iCs/>
          <w:color w:val="000000" w:themeColor="text1"/>
        </w:rPr>
        <w:t>Synechococcus</w:t>
      </w:r>
      <w:r w:rsidR="0013065B" w:rsidRPr="00061013">
        <w:rPr>
          <w:rFonts w:ascii="Comic Sans MS" w:hAnsi="Comic Sans MS" w:cs="Calibri"/>
          <w:color w:val="000000" w:themeColor="text1"/>
        </w:rPr>
        <w:t xml:space="preserve"> : F= </w:t>
      </w:r>
      <w:r w:rsidR="00061013" w:rsidRPr="00061013">
        <w:rPr>
          <w:rFonts w:ascii="Comic Sans MS" w:hAnsi="Comic Sans MS" w:cs="Calibri"/>
          <w:color w:val="000000" w:themeColor="text1"/>
        </w:rPr>
        <w:t>9.44</w:t>
      </w:r>
      <w:r w:rsidR="0013065B" w:rsidRPr="00061013">
        <w:rPr>
          <w:rFonts w:ascii="Comic Sans MS" w:hAnsi="Comic Sans MS" w:cs="Calibri"/>
          <w:color w:val="000000" w:themeColor="text1"/>
        </w:rPr>
        <w:t>, p &lt;0.05)</w:t>
      </w:r>
      <w:r>
        <w:rPr>
          <w:rFonts w:ascii="Comic Sans MS" w:hAnsi="Comic Sans MS" w:cs="Calibri"/>
          <w:color w:val="000000" w:themeColor="text1"/>
        </w:rPr>
        <w:t xml:space="preserve">, while pico-eukaryotes (F= 2.03, p = 0.16, </w:t>
      </w:r>
      <w:r w:rsidRPr="00446AAF">
        <w:rPr>
          <w:rFonts w:ascii="Comic Sans MS" w:hAnsi="Comic Sans MS" w:cs="Calibri"/>
          <w:i/>
          <w:iCs/>
          <w:color w:val="000000" w:themeColor="text1"/>
        </w:rPr>
        <w:t>Prochlorococcus</w:t>
      </w:r>
      <w:r>
        <w:rPr>
          <w:rFonts w:ascii="Comic Sans MS" w:hAnsi="Comic Sans MS" w:cs="Calibri"/>
          <w:color w:val="000000" w:themeColor="text1"/>
        </w:rPr>
        <w:t xml:space="preserve"> (F=1.50, p=0.26) and chlorophyll-a (F=1.69 , p=0.22) did not show treatment related variations</w:t>
      </w:r>
      <w:r>
        <w:rPr>
          <w:rFonts w:ascii="Comic Sans MS" w:hAnsi="Comic Sans MS" w:cs="Calibri"/>
          <w:color w:val="000000" w:themeColor="text1"/>
        </w:rPr>
        <w:t>.</w:t>
      </w:r>
      <w:r w:rsidR="0013065B" w:rsidRPr="00061013">
        <w:rPr>
          <w:rFonts w:ascii="Comic Sans MS" w:hAnsi="Comic Sans MS" w:cs="Calibri"/>
          <w:color w:val="000000" w:themeColor="text1"/>
        </w:rPr>
        <w:t xml:space="preserve"> </w:t>
      </w:r>
      <w:r>
        <w:rPr>
          <w:rFonts w:ascii="Comic Sans MS" w:hAnsi="Comic Sans MS" w:cs="Calibri"/>
          <w:color w:val="000000" w:themeColor="text1"/>
        </w:rPr>
        <w:t>Sampling time has significantly infuenced the abundance of all microbes and cholorpyll-a concentration (p</w:t>
      </w:r>
      <w:r w:rsidRPr="00446AAF">
        <w:rPr>
          <w:rFonts w:ascii="Comic Sans MS" w:hAnsi="Comic Sans MS" w:cs="Calibri"/>
          <w:color w:val="000000" w:themeColor="text1"/>
          <w:vertAlign w:val="subscript"/>
        </w:rPr>
        <w:t>time</w:t>
      </w:r>
      <w:r>
        <w:rPr>
          <w:rFonts w:ascii="Comic Sans MS" w:hAnsi="Comic Sans MS" w:cs="Calibri"/>
          <w:color w:val="000000" w:themeColor="text1"/>
        </w:rPr>
        <w:t xml:space="preserve"> &lt;0.05): heterotrophic bacteria (F= 3.26), picoeukaryotes (F= 112.5), Prochlorococcus (F= 7.32), Synechococcus (F= 9.94), and chlorophyll-a (F=14.7). However, there</w:t>
      </w:r>
      <w:r w:rsidR="0013065B" w:rsidRPr="00061013">
        <w:rPr>
          <w:rFonts w:ascii="Comic Sans MS" w:hAnsi="Comic Sans MS" w:cs="Calibri"/>
          <w:color w:val="000000" w:themeColor="text1"/>
        </w:rPr>
        <w:t xml:space="preserve"> was no significant time interaction with observed treatment effects. Dunnett’s post hoc contrasts highlighted a significant depletion of Synechococcus in CCA-enriched communities compared to controls (p&lt;0.05). Pairwise contrast effect size against seawater control showed large Synechococcus depletion in all treatments (Coral: d= -1.71, CCA: d= -3.61, Algae: d= -1.94), though these did not reach statistical significance after multiple comparisons correction for coral and algae treatments. Dunnett’s post hoc contrast showed no significant differences between control and treatments in heterotrophic bacteria abundance despite showing large depletion in CCA mesocosms (d = -1.44) and large enrichment patterns in algae-enriched communities (d = 1.23) in the pairwise contrast effect size. Collectively, results suggest that mixed reef communities reduce Synechococcus abundance especially in CCA-enriched communities. Heterotrophic bacteria exhibited opposing patterns depending on benthic community composition with large depletion effects in CCA-enriched communities and enrichment in algae-dominated communities, though neither reached statistical significance after multiplicity correction.</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76"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76"/>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7" w:name="_Toc232771528"/>
      <w:bookmarkStart w:id="78"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77"/>
      <w:bookmarkEnd w:id="78"/>
    </w:p>
    <w:p w14:paraId="0937E6D8" w14:textId="46B1BC7F"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 over 24h to assess whether mixed benthic assemblages, particularly algae-enriched communities, 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 Figure 3.4).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lgae communities and seawater control</w:t>
      </w:r>
      <w:r w:rsidR="00264C75" w:rsidRPr="00F0557B">
        <w:rPr>
          <w:rFonts w:ascii="Calibri" w:hAnsi="Calibri" w:cs="Calibri"/>
          <w:color w:val="000000" w:themeColor="text1"/>
        </w:rPr>
        <w:t xml:space="preserve">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while coral and CCA enrichment did not show significant contrasts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 xml:space="preserve">Control vs. </w:t>
      </w:r>
      <w:r w:rsidR="00264C75" w:rsidRPr="00264C75">
        <w:rPr>
          <w:rFonts w:ascii="Calibri" w:hAnsi="Calibri" w:cs="Calibri"/>
          <w:i/>
          <w:iCs/>
          <w:color w:val="000000" w:themeColor="text1"/>
        </w:rPr>
        <w:t>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w:t>
      </w:r>
      <w:r w:rsidR="00264C75">
        <w:rPr>
          <w:rFonts w:ascii="Calibri" w:hAnsi="Calibri" w:cs="Calibri"/>
          <w:color w:val="000000" w:themeColor="text1"/>
        </w:rPr>
        <w:t>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000507B9">
        <w:rPr>
          <w:rFonts w:ascii="Calibri" w:hAnsi="Calibri" w:cs="Calibri"/>
          <w:color w:val="000000" w:themeColor="text1"/>
        </w:rPr>
        <w:t>(</w:t>
      </w:r>
      <w:r w:rsidR="000507B9">
        <w:rPr>
          <w:rFonts w:ascii="Calibri" w:hAnsi="Calibri" w:cs="Calibri"/>
          <w:color w:val="000000" w:themeColor="text1"/>
        </w:rPr>
        <w:fldChar w:fldCharType="begin"/>
      </w:r>
      <w:r w:rsidR="000507B9">
        <w:rPr>
          <w:rFonts w:ascii="Calibri" w:hAnsi="Calibri" w:cs="Calibri"/>
          <w:color w:val="000000" w:themeColor="text1"/>
        </w:rPr>
        <w:instrText xml:space="preserve"> REF _Ref234315735 \h </w:instrText>
      </w:r>
      <w:r w:rsidR="000507B9">
        <w:rPr>
          <w:rFonts w:ascii="Calibri" w:hAnsi="Calibri" w:cs="Calibri"/>
          <w:color w:val="000000" w:themeColor="text1"/>
        </w:rPr>
      </w:r>
      <w:r w:rsidR="000507B9">
        <w:rPr>
          <w:rFonts w:ascii="Calibri" w:hAnsi="Calibri" w:cs="Calibri"/>
          <w:color w:val="000000" w:themeColor="text1"/>
        </w:rPr>
        <w:fldChar w:fldCharType="separate"/>
      </w:r>
      <w:r w:rsidR="000507B9" w:rsidRPr="00D60AC0">
        <w:rPr>
          <w:rFonts w:ascii="Calibri" w:hAnsi="Calibri" w:cs="Calibri"/>
          <w:b/>
          <w:bCs/>
          <w:i/>
          <w:iCs/>
          <w:color w:val="000000" w:themeColor="text1"/>
        </w:rPr>
        <w:t xml:space="preserve">Figure </w:t>
      </w:r>
      <w:r w:rsidR="000507B9">
        <w:rPr>
          <w:rFonts w:ascii="Calibri" w:hAnsi="Calibri" w:cs="Calibri"/>
          <w:b/>
          <w:bCs/>
          <w:i/>
          <w:iCs/>
          <w:noProof/>
          <w:color w:val="000000" w:themeColor="text1"/>
        </w:rPr>
        <w:t>5</w:t>
      </w:r>
      <w:r w:rsidR="000507B9">
        <w:rPr>
          <w:rFonts w:ascii="Calibri" w:hAnsi="Calibri" w:cs="Calibri"/>
          <w:color w:val="000000" w:themeColor="text1"/>
        </w:rPr>
        <w:fldChar w:fldCharType="end"/>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79"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79"/>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05CD9A1D" w:rsidR="0013065B" w:rsidRDefault="00D60AC0" w:rsidP="00D60AC0">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Each variable column shows time over 24h passing from left to right, starting at 12:00 until 06:00. Control, coral and CCA communities show similar enrichment patterns. (NMDS stress = 0.123).</w:t>
      </w:r>
    </w:p>
    <w:p w14:paraId="3F327650" w14:textId="3A1F41EE" w:rsidR="00264C75" w:rsidRPr="00F3107C"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at the genus level to determine an association between benthic composition and microbial community structure. The heatmap (</w:t>
      </w:r>
      <w:r w:rsidR="004D0DFC" w:rsidRPr="00F3107C">
        <w:rPr>
          <w:rFonts w:ascii="Calibri" w:hAnsi="Calibri" w:cs="Calibri"/>
        </w:rPr>
        <w:fldChar w:fldCharType="begin"/>
      </w:r>
      <w:r w:rsidR="004D0DFC" w:rsidRPr="00F3107C">
        <w:rPr>
          <w:rFonts w:ascii="Calibri" w:hAnsi="Calibri" w:cs="Calibri"/>
        </w:rPr>
        <w:instrText xml:space="preserve"> REF _Ref234333046 \h </w:instrText>
      </w:r>
      <w:r w:rsidR="004D0DFC" w:rsidRPr="00F3107C">
        <w:rPr>
          <w:rFonts w:ascii="Calibri" w:hAnsi="Calibri" w:cs="Calibri"/>
        </w:rPr>
      </w:r>
      <w:r w:rsidR="00F3107C" w:rsidRPr="00F3107C">
        <w:rPr>
          <w:rFonts w:ascii="Calibri" w:hAnsi="Calibri" w:cs="Calibri"/>
        </w:rPr>
        <w:instrText xml:space="preserve"> \* MERGEFORMAT </w:instrText>
      </w:r>
      <w:r w:rsidR="004D0DFC" w:rsidRPr="00F3107C">
        <w:rPr>
          <w:rFonts w:ascii="Calibri" w:hAnsi="Calibri" w:cs="Calibri"/>
        </w:rPr>
        <w:fldChar w:fldCharType="separate"/>
      </w:r>
      <w:r w:rsidR="004D0DFC" w:rsidRPr="00F3107C">
        <w:rPr>
          <w:rFonts w:ascii="Calibri" w:hAnsi="Calibri" w:cs="Calibri"/>
          <w:b/>
          <w:bCs/>
          <w:color w:val="000000" w:themeColor="text1"/>
        </w:rPr>
        <w:t xml:space="preserve">Figure </w:t>
      </w:r>
      <w:r w:rsidR="004D0DFC" w:rsidRPr="00F3107C">
        <w:rPr>
          <w:rFonts w:ascii="Calibri" w:hAnsi="Calibri" w:cs="Calibri"/>
          <w:b/>
          <w:bCs/>
          <w:noProof/>
          <w:color w:val="000000" w:themeColor="text1"/>
        </w:rPr>
        <w:t>6</w:t>
      </w:r>
      <w:r w:rsidR="004D0DFC" w:rsidRPr="00F3107C">
        <w:rPr>
          <w:rFonts w:ascii="Calibri" w:hAnsi="Calibri" w:cs="Calibri"/>
        </w:rPr>
        <w:fldChar w:fldCharType="end"/>
      </w:r>
      <w:r w:rsidR="004D0DFC" w:rsidRPr="00F3107C">
        <w:rPr>
          <w:rFonts w:ascii="Calibri" w:hAnsi="Calibri" w:cs="Calibri"/>
        </w:rPr>
        <w:t xml:space="preserve">) </w:t>
      </w:r>
      <w:r w:rsidR="00F3107C" w:rsidRPr="00F3107C">
        <w:rPr>
          <w:rFonts w:ascii="Calibri" w:hAnsi="Calibri" w:cs="Calibri"/>
        </w:rPr>
        <w:t>shows</w:t>
      </w:r>
      <w:r w:rsidR="00F3107C" w:rsidRPr="00F3107C">
        <w:rPr>
          <w:rFonts w:ascii="Calibri" w:hAnsi="Calibri" w:cs="Calibri"/>
        </w:rPr>
        <w:t xml:space="preserve"> variations of relative abundance in</w:t>
      </w:r>
      <w:r w:rsidR="00F3107C" w:rsidRPr="00F3107C">
        <w:rPr>
          <w:rFonts w:ascii="Calibri" w:hAnsi="Calibri" w:cs="Calibri"/>
        </w:rPr>
        <w:t xml:space="preserve"> bacterial taxa across mesocosm treatments</w:t>
      </w:r>
      <w:r w:rsidR="00F3107C" w:rsidRPr="00F3107C">
        <w:rPr>
          <w:rFonts w:ascii="Calibri" w:hAnsi="Calibri" w:cs="Calibri"/>
        </w:rPr>
        <w:t xml:space="preserve">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w:t>
      </w:r>
      <w:r w:rsidR="00FB25FB" w:rsidRPr="00F3107C">
        <w:rPr>
          <w:rFonts w:ascii="Calibri" w:hAnsi="Calibri" w:cs="Calibri"/>
        </w:rPr>
        <w:t>F</w:t>
      </w:r>
      <w:r w:rsidR="00FB25FB" w:rsidRPr="00F3107C">
        <w:rPr>
          <w:rFonts w:ascii="Calibri" w:hAnsi="Calibri" w:cs="Calibri"/>
        </w:rPr>
        <w:t xml:space="preserve">= </w:t>
      </w:r>
      <w:r w:rsidR="00A84398" w:rsidRPr="00F3107C">
        <w:rPr>
          <w:rFonts w:ascii="Calibri" w:hAnsi="Calibri" w:cs="Calibri"/>
        </w:rPr>
        <w:t>5.11</w:t>
      </w:r>
      <w:r w:rsidR="00FB25FB" w:rsidRPr="00F3107C">
        <w:rPr>
          <w:rFonts w:ascii="Calibri" w:hAnsi="Calibri" w:cs="Calibri"/>
        </w:rPr>
        <w:t>, p</w:t>
      </w:r>
      <w:r w:rsidR="00FB25FB" w:rsidRPr="00F3107C">
        <w:rPr>
          <w:rFonts w:ascii="Calibri" w:hAnsi="Calibri" w:cs="Calibri"/>
        </w:rPr>
        <w:t>=0.0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FB25FB" w:rsidRPr="00F3107C">
        <w:rPr>
          <w:rFonts w:ascii="Calibri" w:hAnsi="Calibri" w:cs="Calibri"/>
        </w:rPr>
        <w:t xml:space="preserve">. Module </w:t>
      </w:r>
      <w:r w:rsidR="00A84398" w:rsidRPr="00F3107C">
        <w:rPr>
          <w:rFonts w:ascii="Calibri" w:hAnsi="Calibri" w:cs="Calibri"/>
        </w:rPr>
        <w:t>B</w:t>
      </w:r>
      <w:r w:rsidR="00FB25FB" w:rsidRPr="00F3107C">
        <w:rPr>
          <w:rFonts w:ascii="Calibri" w:hAnsi="Calibri" w:cs="Calibri"/>
        </w:rPr>
        <w:t xml:space="preserve"> also showed significant time effect</w:t>
      </w:r>
      <w:r w:rsidR="00A84398" w:rsidRPr="00F3107C">
        <w:rPr>
          <w:rFonts w:ascii="Calibri" w:hAnsi="Calibri" w:cs="Calibri"/>
        </w:rPr>
        <w:t xml:space="preserve"> (</w:t>
      </w:r>
      <w:r w:rsidR="00A84398" w:rsidRPr="00F3107C">
        <w:rPr>
          <w:rFonts w:ascii="Calibri" w:hAnsi="Calibri" w:cs="Calibri"/>
        </w:rPr>
        <w:t>F= 461.8, p&lt;0.05</w:t>
      </w:r>
      <w:r w:rsidR="00A84398" w:rsidRPr="00F3107C">
        <w:rPr>
          <w:rFonts w:ascii="Calibri" w:hAnsi="Calibri" w:cs="Calibri"/>
        </w:rPr>
        <w:t>)</w:t>
      </w:r>
      <w:r w:rsidR="00FB25FB" w:rsidRPr="00F3107C">
        <w:rPr>
          <w:rFonts w:ascii="Calibri" w:hAnsi="Calibri" w:cs="Calibri"/>
        </w:rPr>
        <w:t xml:space="preserve"> and </w:t>
      </w:r>
      <w:r w:rsidR="00A84398" w:rsidRPr="00F3107C">
        <w:rPr>
          <w:rFonts w:ascii="Calibri" w:hAnsi="Calibri" w:cs="Calibri"/>
        </w:rPr>
        <w:t>flow rate effect (</w:t>
      </w:r>
      <w:r w:rsidR="00FB25FB" w:rsidRPr="00F3107C">
        <w:rPr>
          <w:rFonts w:ascii="Calibri" w:hAnsi="Calibri" w:cs="Calibri"/>
        </w:rPr>
        <w:t xml:space="preserve">F= </w:t>
      </w:r>
      <w:r w:rsidR="00A84398" w:rsidRPr="00F3107C">
        <w:rPr>
          <w:rFonts w:ascii="Calibri" w:hAnsi="Calibri" w:cs="Calibri"/>
        </w:rPr>
        <w:t>239.7</w:t>
      </w:r>
      <w:r w:rsidR="00FB25FB" w:rsidRPr="00F3107C">
        <w:rPr>
          <w:rFonts w:ascii="Calibri" w:hAnsi="Calibri" w:cs="Calibri"/>
        </w:rPr>
        <w:t xml:space="preserve">, p &lt;0.05). Module </w:t>
      </w:r>
      <w:r w:rsidR="00A84398" w:rsidRPr="00F3107C">
        <w:rPr>
          <w:rFonts w:ascii="Calibri" w:hAnsi="Calibri" w:cs="Calibri"/>
        </w:rPr>
        <w:t xml:space="preserve">A only </w:t>
      </w:r>
      <w:r w:rsidR="00FB25FB" w:rsidRPr="00F3107C">
        <w:rPr>
          <w:rFonts w:ascii="Calibri" w:hAnsi="Calibri" w:cs="Calibri"/>
        </w:rPr>
        <w:t xml:space="preserve">showed significant </w:t>
      </w:r>
      <w:r w:rsidR="00A84398" w:rsidRPr="00F3107C">
        <w:rPr>
          <w:rFonts w:ascii="Calibri" w:hAnsi="Calibri" w:cs="Calibri"/>
        </w:rPr>
        <w:t xml:space="preserve">flow rate effect </w:t>
      </w:r>
      <w:r w:rsidR="00FB25FB" w:rsidRPr="00F3107C">
        <w:rPr>
          <w:rFonts w:ascii="Calibri" w:hAnsi="Calibri" w:cs="Calibri"/>
        </w:rPr>
        <w:t>(</w:t>
      </w:r>
      <w:r w:rsidR="00A84398" w:rsidRPr="00F3107C">
        <w:rPr>
          <w:rFonts w:ascii="Calibri" w:hAnsi="Calibri" w:cs="Calibri"/>
        </w:rPr>
        <w:t xml:space="preserve">module A: </w:t>
      </w:r>
      <w:r w:rsidR="00FB25FB" w:rsidRPr="00F3107C">
        <w:rPr>
          <w:rFonts w:ascii="Calibri" w:hAnsi="Calibri" w:cs="Calibri"/>
        </w:rPr>
        <w:t xml:space="preserve">F= </w:t>
      </w:r>
      <w:r w:rsidR="00A84398" w:rsidRPr="00F3107C">
        <w:rPr>
          <w:rFonts w:ascii="Calibri" w:hAnsi="Calibri" w:cs="Calibri"/>
        </w:rPr>
        <w:t>45.1</w:t>
      </w:r>
      <w:r w:rsidR="00FB25FB" w:rsidRPr="00F3107C">
        <w:rPr>
          <w:rFonts w:ascii="Calibri" w:hAnsi="Calibri" w:cs="Calibri"/>
        </w:rPr>
        <w:t>, p &lt;0.05)</w:t>
      </w:r>
      <w:r w:rsidR="00A84398" w:rsidRPr="00F3107C">
        <w:rPr>
          <w:rFonts w:ascii="Calibri" w:hAnsi="Calibri" w:cs="Calibri"/>
        </w:rPr>
        <w:t xml:space="preserve"> while module C ecxhibited signficant time </w:t>
      </w:r>
      <w:r w:rsidR="00A84398" w:rsidRPr="00F3107C">
        <w:rPr>
          <w:rFonts w:ascii="Calibri" w:hAnsi="Calibri" w:cs="Calibri"/>
        </w:rPr>
        <w:t xml:space="preserve">(F= </w:t>
      </w:r>
      <w:r w:rsidR="00A84398" w:rsidRPr="00F3107C">
        <w:rPr>
          <w:rFonts w:ascii="Calibri" w:hAnsi="Calibri" w:cs="Calibri"/>
        </w:rPr>
        <w:t>238.3</w:t>
      </w:r>
      <w:r w:rsidR="00A84398" w:rsidRPr="00F3107C">
        <w:rPr>
          <w:rFonts w:ascii="Calibri" w:hAnsi="Calibri" w:cs="Calibri"/>
        </w:rPr>
        <w:t xml:space="preserve">, p </w:t>
      </w:r>
      <w:r w:rsidR="00A84398" w:rsidRPr="00F3107C">
        <w:rPr>
          <w:rFonts w:ascii="Calibri" w:hAnsi="Calibri" w:cs="Calibri"/>
        </w:rPr>
        <w:t>&lt;</w:t>
      </w:r>
      <w:r w:rsidR="00A84398" w:rsidRPr="00F3107C">
        <w:rPr>
          <w:rFonts w:ascii="Calibri" w:hAnsi="Calibri" w:cs="Calibri"/>
        </w:rPr>
        <w:t xml:space="preserve"> 0.0</w:t>
      </w:r>
      <w:r w:rsidR="00A84398" w:rsidRPr="00F3107C">
        <w:rPr>
          <w:rFonts w:ascii="Calibri" w:hAnsi="Calibri" w:cs="Calibri"/>
        </w:rPr>
        <w:t>5</w:t>
      </w:r>
      <w:r w:rsidR="00A84398" w:rsidRPr="00F3107C">
        <w:rPr>
          <w:rFonts w:ascii="Calibri" w:hAnsi="Calibri" w:cs="Calibri"/>
        </w:rPr>
        <w:t>)</w:t>
      </w:r>
      <w:r w:rsidR="00A84398" w:rsidRPr="00F3107C">
        <w:rPr>
          <w:rFonts w:ascii="Calibri" w:hAnsi="Calibri" w:cs="Calibri"/>
        </w:rPr>
        <w:t xml:space="preserve"> and </w:t>
      </w:r>
      <w:r w:rsidR="00FB25FB" w:rsidRPr="00F3107C">
        <w:rPr>
          <w:rFonts w:ascii="Calibri" w:hAnsi="Calibri" w:cs="Calibri"/>
        </w:rPr>
        <w:t xml:space="preserve">flow effect (F= </w:t>
      </w:r>
      <w:r w:rsidR="00A84398" w:rsidRPr="00F3107C">
        <w:rPr>
          <w:rFonts w:ascii="Calibri" w:hAnsi="Calibri" w:cs="Calibri"/>
        </w:rPr>
        <w:t>73.4</w:t>
      </w:r>
      <w:r w:rsidR="00FB25FB" w:rsidRPr="00F3107C">
        <w:rPr>
          <w:rFonts w:ascii="Calibri" w:hAnsi="Calibri" w:cs="Calibri"/>
        </w:rPr>
        <w:t xml:space="preserve">, p </w:t>
      </w:r>
      <w:r w:rsidR="00A84398" w:rsidRPr="00F3107C">
        <w:rPr>
          <w:rFonts w:ascii="Calibri" w:hAnsi="Calibri" w:cs="Calibri"/>
        </w:rPr>
        <w:t>&lt;</w:t>
      </w:r>
      <w:r w:rsidR="00FB25FB" w:rsidRPr="00F3107C">
        <w:rPr>
          <w:rFonts w:ascii="Calibri" w:hAnsi="Calibri" w:cs="Calibri"/>
        </w:rPr>
        <w:t xml:space="preserve"> 0.0</w:t>
      </w:r>
      <w:r w:rsidR="00A84398" w:rsidRPr="00F3107C">
        <w:rPr>
          <w:rFonts w:ascii="Calibri" w:hAnsi="Calibri" w:cs="Calibri"/>
        </w:rPr>
        <w:t>5</w:t>
      </w:r>
      <w:r w:rsidR="00FB25FB" w:rsidRPr="00F3107C">
        <w:rPr>
          <w:rFonts w:ascii="Calibri" w:hAnsi="Calibri" w:cs="Calibri"/>
        </w:rPr>
        <w:t xml:space="preserve">). </w:t>
      </w:r>
      <w:r w:rsidR="00FB25FB" w:rsidRPr="00F3107C">
        <w:rPr>
          <w:rFonts w:ascii="Calibri" w:hAnsi="Calibri" w:cs="Calibri"/>
        </w:rPr>
        <w:t xml:space="preserve">Dunett’s post-hoc contrasts indicated that only </w:t>
      </w:r>
      <w:r w:rsidR="00A84398" w:rsidRPr="00F3107C">
        <w:rPr>
          <w:rFonts w:ascii="Calibri" w:hAnsi="Calibri" w:cs="Calibri"/>
        </w:rPr>
        <w:t>module B</w:t>
      </w:r>
      <w:r w:rsidR="00A84398" w:rsidRPr="00F3107C">
        <w:rPr>
          <w:rFonts w:ascii="Calibri" w:hAnsi="Calibri" w:cs="Calibri"/>
        </w:rPr>
        <w:t xml:space="preserve">  showed significant </w:t>
      </w:r>
      <w:r w:rsidR="00FB25FB" w:rsidRPr="00F3107C">
        <w:rPr>
          <w:rFonts w:ascii="Calibri" w:hAnsi="Calibri" w:cs="Calibri"/>
        </w:rPr>
        <w:t>differe</w:t>
      </w:r>
      <w:r w:rsidR="00A84398" w:rsidRPr="00F3107C">
        <w:rPr>
          <w:rFonts w:ascii="Calibri" w:hAnsi="Calibri" w:cs="Calibri"/>
        </w:rPr>
        <w:t>nce</w:t>
      </w:r>
      <w:r w:rsidR="00FB25FB" w:rsidRPr="00F3107C">
        <w:rPr>
          <w:rFonts w:ascii="Calibri" w:hAnsi="Calibri" w:cs="Calibri"/>
        </w:rPr>
        <w:t xml:space="preserve"> from the controls</w:t>
      </w:r>
      <w:r w:rsidR="00A84398" w:rsidRPr="00F3107C">
        <w:rPr>
          <w:rFonts w:ascii="Calibri" w:hAnsi="Calibri" w:cs="Calibri"/>
        </w:rPr>
        <w:t xml:space="preserve"> with a </w:t>
      </w:r>
      <w:r w:rsidR="00A84398" w:rsidRPr="00F3107C">
        <w:rPr>
          <w:rFonts w:ascii="Calibri" w:hAnsi="Calibri" w:cs="Calibri"/>
        </w:rPr>
        <w:t>significant enrichment</w:t>
      </w:r>
      <w:r w:rsidR="00A84398" w:rsidRPr="00F3107C">
        <w:rPr>
          <w:rFonts w:ascii="Calibri" w:hAnsi="Calibri" w:cs="Calibri"/>
        </w:rPr>
        <w:t xml:space="preserve"> in </w:t>
      </w:r>
      <w:r w:rsidR="00A84398" w:rsidRPr="00F3107C">
        <w:rPr>
          <w:rFonts w:ascii="Calibri" w:hAnsi="Calibri" w:cs="Calibri"/>
        </w:rPr>
        <w:t>the algae-enriched mesocosms</w:t>
      </w:r>
      <w:r w:rsidR="00FB25FB" w:rsidRPr="00F3107C">
        <w:rPr>
          <w:rFonts w:ascii="Calibri" w:hAnsi="Calibri" w:cs="Calibri"/>
        </w:rPr>
        <w:t xml:space="preserve"> </w:t>
      </w:r>
      <w:r w:rsidR="00A84398" w:rsidRPr="00F3107C">
        <w:rPr>
          <w:rFonts w:ascii="Calibri" w:hAnsi="Calibri" w:cs="Calibri"/>
        </w:rPr>
        <w:t>(p&lt;0.05)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B60634" w:rsidRPr="00F3107C">
        <w:rPr>
          <w:rFonts w:ascii="Calibri" w:hAnsi="Calibri" w:cs="Calibri"/>
        </w:rPr>
      </w:r>
      <w:r w:rsidR="00F3107C" w:rsidRPr="00F3107C">
        <w:rPr>
          <w:rFonts w:ascii="Calibri" w:hAnsi="Calibri" w:cs="Calibri"/>
        </w:rPr>
        <w:instrText xml:space="preserve"> \* MERGEFORMAT </w:instrText>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56234299" w:rsidR="00D60AC0" w:rsidRDefault="00A50186" w:rsidP="00D60AC0">
      <w:pPr>
        <w:keepNext/>
        <w:spacing w:line="360" w:lineRule="auto"/>
        <w:jc w:val="center"/>
      </w:pPr>
      <w:r>
        <w:rPr>
          <w:noProof/>
        </w:rPr>
        <w:drawing>
          <wp:inline distT="0" distB="0" distL="0" distR="0" wp14:anchorId="21BECC70" wp14:editId="69A4DB2E">
            <wp:extent cx="5081954" cy="4065563"/>
            <wp:effectExtent l="0" t="0" r="0" b="0"/>
            <wp:docPr id="1890179699"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79699" name="Image 18901796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90735" cy="4072588"/>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80" w:name="_Ref234333046"/>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80"/>
      <w:r w:rsidRPr="00D60AC0">
        <w:rPr>
          <w:rFonts w:ascii="Calibri" w:hAnsi="Calibri" w:cs="Calibri"/>
          <w:b/>
          <w:bCs/>
          <w:color w:val="000000" w:themeColor="text1"/>
          <w:sz w:val="24"/>
          <w:szCs w:val="24"/>
        </w:rPr>
        <w:t xml:space="preserve">: Heatmap showing significant differences in bacterial families across treatment. </w:t>
      </w:r>
    </w:p>
    <w:p w14:paraId="6411994F" w14:textId="77777777" w:rsidR="00D60AC0" w:rsidRDefault="00D60AC0" w:rsidP="00D60AC0"/>
    <w:p w14:paraId="55A61DCB" w14:textId="2BED710E" w:rsidR="00D60AC0" w:rsidRDefault="00FB25FB" w:rsidP="00D60AC0">
      <w:r>
        <w:rPr>
          <w:noProof/>
        </w:rPr>
        <w:lastRenderedPageBreak/>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Pr="00B60634" w:rsidRDefault="00B60634" w:rsidP="00B60634">
      <w:pPr>
        <w:pStyle w:val="Lgende"/>
        <w:jc w:val="center"/>
        <w:rPr>
          <w:rFonts w:ascii="Calibri" w:hAnsi="Calibri" w:cs="Calibri"/>
          <w:b/>
          <w:bCs/>
          <w:sz w:val="24"/>
          <w:szCs w:val="24"/>
        </w:rPr>
      </w:pPr>
      <w:bookmarkStart w:id="81"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81"/>
      <w:r w:rsidRPr="00B60634">
        <w:rPr>
          <w:rFonts w:ascii="Calibri" w:hAnsi="Calibri" w:cs="Calibri"/>
          <w:b/>
          <w:bCs/>
          <w:sz w:val="24"/>
          <w:szCs w:val="24"/>
        </w:rPr>
        <w:t>: Modules</w:t>
      </w:r>
    </w:p>
    <w:p w14:paraId="1AA60038" w14:textId="1863D5A7" w:rsidR="00B60634" w:rsidRDefault="00B60634" w:rsidP="00D60AC0"/>
    <w:p w14:paraId="5ABAC16F" w14:textId="68BA738C" w:rsidR="00B60634" w:rsidRPr="00453D29" w:rsidRDefault="00B60634" w:rsidP="00D60AC0">
      <w:pPr>
        <w:rPr>
          <w:rFonts w:ascii="Comic Sans MS" w:hAnsi="Comic Sans MS"/>
        </w:rPr>
      </w:pPr>
      <w:r>
        <w:tab/>
      </w:r>
      <w:commentRangeStart w:id="82"/>
      <w:r w:rsidRPr="00B60634">
        <w:rPr>
          <w:rFonts w:ascii="Comic Sans MS" w:hAnsi="Comic Sans MS"/>
        </w:rPr>
        <w:t xml:space="preserve">The </w:t>
      </w:r>
      <w:commentRangeEnd w:id="82"/>
      <w:r w:rsidR="00453D29" w:rsidRPr="00B60634">
        <w:rPr>
          <w:rStyle w:val="Marquedecommentaire"/>
          <w:rFonts w:ascii="Comic Sans MS" w:hAnsi="Comic Sans MS"/>
          <w:sz w:val="24"/>
          <w:szCs w:val="24"/>
        </w:rPr>
        <w:commentReference w:id="82"/>
      </w:r>
      <w:r w:rsidRPr="00B60634">
        <w:rPr>
          <w:rFonts w:ascii="Comic Sans MS" w:hAnsi="Comic Sans MS"/>
        </w:rPr>
        <w:t>relative abundance of bacterial genera were relativized to the</w:t>
      </w:r>
      <w:r w:rsidR="00453D29">
        <w:rPr>
          <w:rFonts w:ascii="Comic Sans MS" w:hAnsi="Comic Sans MS"/>
        </w:rPr>
        <w:t xml:space="preserve"> average</w:t>
      </w:r>
      <w:r w:rsidRPr="00B60634">
        <w:rPr>
          <w:rFonts w:ascii="Comic Sans MS" w:hAnsi="Comic Sans MS"/>
        </w:rPr>
        <w:t xml:space="preserve"> inflow value at each time point to model enrichment and depletion patterns in each treatment</w:t>
      </w:r>
      <w:r w:rsidR="00453D29">
        <w:rPr>
          <w:rFonts w:ascii="Comic Sans MS" w:hAnsi="Comic Sans MS"/>
        </w:rPr>
        <w:t xml:space="preserve">. </w:t>
      </w:r>
      <w:r w:rsidR="00F3107C">
        <w:rPr>
          <w:rFonts w:ascii="Comic Sans MS" w:hAnsi="Comic Sans MS"/>
        </w:rPr>
        <w:t>22</w:t>
      </w:r>
      <w:r w:rsidR="00453D29">
        <w:rPr>
          <w:rFonts w:ascii="Comic Sans MS" w:hAnsi="Comic Sans MS"/>
        </w:rPr>
        <w:t xml:space="preserve"> bacterial genera showed significant ANOVA (p</w:t>
      </w:r>
      <w:r w:rsidR="00453D29" w:rsidRPr="00453D29">
        <w:rPr>
          <w:rFonts w:ascii="Comic Sans MS" w:hAnsi="Comic Sans MS"/>
          <w:vertAlign w:val="subscript"/>
        </w:rPr>
        <w:t>treatment</w:t>
      </w:r>
      <w:r w:rsidR="00453D29">
        <w:rPr>
          <w:rFonts w:ascii="Comic Sans MS" w:hAnsi="Comic Sans MS"/>
        </w:rPr>
        <w:t xml:space="preserve"> &lt;0.05). Among those </w:t>
      </w:r>
      <w:r w:rsidR="00F3107C">
        <w:rPr>
          <w:rFonts w:ascii="Comic Sans MS" w:hAnsi="Comic Sans MS"/>
        </w:rPr>
        <w:t>22</w:t>
      </w:r>
      <w:r w:rsidR="00453D29">
        <w:rPr>
          <w:rFonts w:ascii="Comic Sans MS" w:hAnsi="Comic Sans MS"/>
        </w:rPr>
        <w:t xml:space="preserve"> genera, 8 genera exhibited significant Dunett’s post-hoc contrasts between control and treatments</w:t>
      </w:r>
      <w:r w:rsidR="00F3107C">
        <w:rPr>
          <w:rFonts w:ascii="Comic Sans MS" w:hAnsi="Comic Sans MS"/>
        </w:rPr>
        <w:t xml:space="preserve">, specifically, an enrichment in the algae-enriched treatments </w:t>
      </w:r>
      <w:r w:rsidR="00453D29">
        <w:rPr>
          <w:rFonts w:ascii="Comic Sans MS" w:hAnsi="Comic Sans MS"/>
        </w:rPr>
        <w:t xml:space="preserve"> (p&lt;0.05) (</w:t>
      </w:r>
      <w:r w:rsidR="00453D29">
        <w:rPr>
          <w:rFonts w:ascii="Comic Sans MS" w:hAnsi="Comic Sans MS"/>
        </w:rPr>
        <w:fldChar w:fldCharType="begin"/>
      </w:r>
      <w:r w:rsidR="00453D29">
        <w:rPr>
          <w:rFonts w:ascii="Comic Sans MS" w:hAnsi="Comic Sans MS"/>
        </w:rPr>
        <w:instrText xml:space="preserve"> REF _Ref234334054 \h </w:instrText>
      </w:r>
      <w:r w:rsidR="00453D29">
        <w:rPr>
          <w:rFonts w:ascii="Comic Sans MS" w:hAnsi="Comic Sans MS"/>
        </w:rPr>
      </w:r>
      <w:r w:rsidR="00453D29">
        <w:rPr>
          <w:rFonts w:ascii="Comic Sans MS" w:hAnsi="Comic Sans MS"/>
        </w:rPr>
        <w:fldChar w:fldCharType="separate"/>
      </w:r>
      <w:r w:rsidR="00453D29" w:rsidRPr="00B60634">
        <w:rPr>
          <w:rFonts w:ascii="Calibri" w:hAnsi="Calibri" w:cs="Calibri"/>
          <w:b/>
          <w:bCs/>
        </w:rPr>
        <w:t xml:space="preserve">Figure </w:t>
      </w:r>
      <w:r w:rsidR="00453D29" w:rsidRPr="00B60634">
        <w:rPr>
          <w:rFonts w:ascii="Calibri" w:hAnsi="Calibri" w:cs="Calibri"/>
          <w:b/>
          <w:bCs/>
          <w:noProof/>
        </w:rPr>
        <w:t>8</w:t>
      </w:r>
      <w:r w:rsidR="00453D29">
        <w:rPr>
          <w:rFonts w:ascii="Comic Sans MS" w:hAnsi="Comic Sans MS"/>
        </w:rPr>
        <w:fldChar w:fldCharType="end"/>
      </w:r>
      <w:r w:rsidR="00453D29">
        <w:rPr>
          <w:rFonts w:ascii="Comic Sans MS" w:hAnsi="Comic Sans MS"/>
        </w:rPr>
        <w:t xml:space="preserve">). Collectively, the results suggest that bacterial communty structure diverges from the controls when benthic communities are enriched in macroalgae. </w:t>
      </w:r>
    </w:p>
    <w:p w14:paraId="5FF31901" w14:textId="400840CB" w:rsidR="00B60634" w:rsidRDefault="00A50186" w:rsidP="00B60634">
      <w:pPr>
        <w:keepNext/>
        <w:jc w:val="center"/>
      </w:pPr>
      <w:r>
        <w:rPr>
          <w:noProof/>
        </w:rPr>
        <w:lastRenderedPageBreak/>
        <w:drawing>
          <wp:inline distT="0" distB="0" distL="0" distR="0" wp14:anchorId="17AA8CA2" wp14:editId="4D1E45BB">
            <wp:extent cx="4162349" cy="3328991"/>
            <wp:effectExtent l="0" t="0" r="3810" b="0"/>
            <wp:docPr id="61064593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45931" name="Image 61064593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19098" cy="3374378"/>
                    </a:xfrm>
                    <a:prstGeom prst="rect">
                      <a:avLst/>
                    </a:prstGeom>
                  </pic:spPr>
                </pic:pic>
              </a:graphicData>
            </a:graphic>
          </wp:inline>
        </w:drawing>
      </w:r>
    </w:p>
    <w:p w14:paraId="4FDE80DE" w14:textId="76B53965" w:rsidR="0043448B" w:rsidRPr="00B60634" w:rsidRDefault="00B60634" w:rsidP="00B60634">
      <w:pPr>
        <w:pStyle w:val="Lgende"/>
        <w:jc w:val="center"/>
        <w:rPr>
          <w:rFonts w:ascii="Calibri" w:hAnsi="Calibri" w:cs="Calibri"/>
          <w:b/>
          <w:bCs/>
          <w:sz w:val="24"/>
          <w:szCs w:val="24"/>
        </w:rPr>
      </w:pPr>
      <w:bookmarkStart w:id="83" w:name="_Ref234334054"/>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sidRPr="00B60634">
        <w:rPr>
          <w:rFonts w:ascii="Calibri" w:hAnsi="Calibri" w:cs="Calibri"/>
          <w:b/>
          <w:bCs/>
          <w:noProof/>
          <w:sz w:val="24"/>
          <w:szCs w:val="24"/>
        </w:rPr>
        <w:t>8</w:t>
      </w:r>
      <w:r w:rsidRPr="00B60634">
        <w:rPr>
          <w:rFonts w:ascii="Calibri" w:hAnsi="Calibri" w:cs="Calibri"/>
          <w:b/>
          <w:bCs/>
          <w:sz w:val="24"/>
          <w:szCs w:val="24"/>
        </w:rPr>
        <w:fldChar w:fldCharType="end"/>
      </w:r>
      <w:bookmarkEnd w:id="83"/>
      <w:r w:rsidRPr="00B60634">
        <w:rPr>
          <w:rFonts w:ascii="Calibri" w:hAnsi="Calibri" w:cs="Calibri"/>
          <w:b/>
          <w:bCs/>
          <w:sz w:val="24"/>
          <w:szCs w:val="24"/>
        </w:rPr>
        <w:t>: Tiles of enrichment and depletion</w:t>
      </w:r>
    </w:p>
    <w:p w14:paraId="309B4A5C" w14:textId="3C98DFA3" w:rsidR="0043448B" w:rsidRDefault="0043448B" w:rsidP="0043448B">
      <w:pPr>
        <w:jc w:val="center"/>
      </w:pPr>
      <w:r>
        <w:t xml:space="preserve">From the contrasts of the lmer model </w:t>
      </w:r>
    </w:p>
    <w:p w14:paraId="2691B175" w14:textId="77777777" w:rsidR="0043448B" w:rsidRDefault="0043448B" w:rsidP="00D60AC0"/>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49732F2A" w14:textId="3EEA3C81" w:rsidR="0013065B" w:rsidRPr="00F0557B" w:rsidRDefault="0013065B" w:rsidP="00934F70">
      <w:pPr>
        <w:pStyle w:val="Titre1"/>
        <w:spacing w:line="360" w:lineRule="auto"/>
        <w:rPr>
          <w:rFonts w:ascii="Calibri" w:hAnsi="Calibri" w:cs="Calibri"/>
          <w:b/>
          <w:bCs/>
          <w:color w:val="000000" w:themeColor="text1"/>
        </w:rPr>
      </w:pPr>
      <w:bookmarkStart w:id="84" w:name="_Toc232771529"/>
      <w:bookmarkStart w:id="85" w:name="_Toc234162431"/>
      <w:r w:rsidRPr="00F0557B">
        <w:rPr>
          <w:rFonts w:ascii="Calibri" w:hAnsi="Calibri" w:cs="Calibri"/>
          <w:b/>
          <w:bCs/>
          <w:color w:val="000000" w:themeColor="text1"/>
        </w:rPr>
        <w:lastRenderedPageBreak/>
        <w:t>Discussion</w:t>
      </w:r>
      <w:bookmarkEnd w:id="84"/>
      <w:bookmarkEnd w:id="85"/>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86" w:name="_Toc232771530"/>
      <w:bookmarkStart w:id="87" w:name="_Toc234162432"/>
      <w:r w:rsidRPr="00F0557B">
        <w:rPr>
          <w:rFonts w:ascii="Calibri" w:hAnsi="Calibri" w:cs="Calibri"/>
          <w:b/>
          <w:bCs/>
          <w:color w:val="000000" w:themeColor="text1"/>
          <w:sz w:val="24"/>
          <w:szCs w:val="24"/>
        </w:rPr>
        <w:t xml:space="preserve">Benthic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rives </w:t>
      </w:r>
      <w:r w:rsidRPr="00F0557B">
        <w:rPr>
          <w:rFonts w:ascii="Calibri" w:hAnsi="Calibri" w:cs="Calibri"/>
          <w:b/>
          <w:bCs/>
          <w:color w:val="000000" w:themeColor="text1"/>
          <w:sz w:val="24"/>
          <w:szCs w:val="24"/>
        </w:rPr>
        <w:t>T</w:t>
      </w:r>
      <w:r w:rsidRPr="00F0557B">
        <w:rPr>
          <w:rFonts w:ascii="Calibri" w:hAnsi="Calibri" w:cs="Calibri"/>
          <w:b/>
          <w:bCs/>
          <w:color w:val="000000" w:themeColor="text1"/>
          <w:sz w:val="24"/>
          <w:szCs w:val="24"/>
        </w:rPr>
        <w:t>reatment-</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 xml:space="preserve">ssociated </w:t>
      </w:r>
      <w:r w:rsidRPr="00F0557B">
        <w:rPr>
          <w:rFonts w:ascii="Calibri" w:hAnsi="Calibri" w:cs="Calibri"/>
          <w:b/>
          <w:bCs/>
          <w:color w:val="000000" w:themeColor="text1"/>
          <w:sz w:val="24"/>
          <w:szCs w:val="24"/>
        </w:rPr>
        <w:t>P</w:t>
      </w:r>
      <w:r w:rsidRPr="00F0557B">
        <w:rPr>
          <w:rFonts w:ascii="Calibri" w:hAnsi="Calibri" w:cs="Calibri"/>
          <w:b/>
          <w:bCs/>
          <w:color w:val="000000" w:themeColor="text1"/>
          <w:sz w:val="24"/>
          <w:szCs w:val="24"/>
        </w:rPr>
        <w:t xml:space="preserve">atterns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acterial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86"/>
      <w:bookmarkEnd w:id="87"/>
    </w:p>
    <w:p w14:paraId="01BB067B" w14:textId="3B1FE87F"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Sampling time points significantly affected nutrient concentrations, but not organic exudation or bacterial abundance. Orthophosphate, nitrate, ammonia, and silica exhibited significant diel variations between 12:00 and 06:00 consistent with photosynthetic activity during daylight and respiration at night (Sawall and Hochberg 2018). Additionally, log10-transformed flow rate did not significantly affect the treatment effects on relativized concentrations. As a result, observed patterns in organic exudations and bacteria abundance can be primarily attributable to changes in benthic community composition rather than diel dynamics. Future experiments would benefit from automated flow regulation to further minimize flow-related sources of variability.</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88" w:name="_Toc232771531"/>
      <w:bookmarkStart w:id="89" w:name="_Toc234162433"/>
      <w:r w:rsidRPr="00F0557B">
        <w:rPr>
          <w:rFonts w:ascii="Calibri" w:hAnsi="Calibri" w:cs="Calibri"/>
          <w:b/>
          <w:bCs/>
          <w:color w:val="000000" w:themeColor="text1"/>
          <w:sz w:val="24"/>
          <w:szCs w:val="24"/>
        </w:rPr>
        <w:t xml:space="preserve">Organic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are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by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ssemblages</w:t>
      </w:r>
      <w:bookmarkEnd w:id="88"/>
      <w:bookmarkEnd w:id="89"/>
    </w:p>
    <w:p w14:paraId="7042D0DF" w14:textId="52271C7D"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are independent of sampling time point. Algae-enriched assemblages exhibited a preferential exudation of humic-like compounds which is consistent with organismal exudation results reported by Quinlan et al. (2018) and Wegley Kelly et al. (2021).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 (Quinlan et al. 2025; Wegley Kelly et al. 2021). Metabolomic surveys can provide invaluable insight on the interactions between benthic components such as allelopathy and chemical competition, especially during coral-algae competitive interaction, with implication on </w:t>
      </w:r>
      <w:r w:rsidRPr="00F0557B">
        <w:rPr>
          <w:rFonts w:ascii="Calibri" w:hAnsi="Calibri" w:cs="Calibri"/>
          <w:color w:val="000000" w:themeColor="text1"/>
        </w:rPr>
        <w:lastRenderedPageBreak/>
        <w:t xml:space="preserve">coral microbiome alteration, tissue degradation, and coral mortality (Barott et al. 2012; Morrow et al. 2012; Rasher and Hay 2010; Jennifer Smith et al. 2006). </w:t>
      </w:r>
    </w:p>
    <w:p w14:paraId="4E53E5EF"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 (Haas et al. 2011; Mueller et al. 2022; Palmer, Rodríguez Esquivel, and Parker 2025). Still, because our community exudation results recapitulate and/or are consistent with more reductive single-organism exudation profiles conducted in this same ecosystem (Haas et al., 2011, 2013, Nelson et al. 2013, Wegley Kelly 2021) this experiment reinforces interpretation of dissolved organic matter distribution patterns across these coral reefs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90" w:name="_Toc232771532"/>
      <w:bookmarkStart w:id="91" w:name="_Toc234162434"/>
      <w:r w:rsidRPr="00F0557B">
        <w:rPr>
          <w:rFonts w:ascii="Calibri" w:hAnsi="Calibri" w:cs="Calibri"/>
          <w:b/>
          <w:bCs/>
          <w:color w:val="000000" w:themeColor="text1"/>
          <w:sz w:val="24"/>
          <w:szCs w:val="24"/>
        </w:rPr>
        <w:t xml:space="preserve">Composition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xudates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w:t>
      </w:r>
      <w:r w:rsidRPr="00F0557B">
        <w:rPr>
          <w:rFonts w:ascii="Calibri" w:hAnsi="Calibri" w:cs="Calibri"/>
          <w:b/>
          <w:bCs/>
          <w:color w:val="000000" w:themeColor="text1"/>
          <w:sz w:val="24"/>
          <w:szCs w:val="24"/>
        </w:rPr>
        <w:t>M</w:t>
      </w:r>
      <w:r w:rsidRPr="00F0557B">
        <w:rPr>
          <w:rFonts w:ascii="Calibri" w:hAnsi="Calibri" w:cs="Calibri"/>
          <w:b/>
          <w:bCs/>
          <w:color w:val="000000" w:themeColor="text1"/>
          <w:sz w:val="24"/>
          <w:szCs w:val="24"/>
        </w:rPr>
        <w:t xml:space="preserve">icrobial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90"/>
      <w:bookmarkEnd w:id="91"/>
    </w:p>
    <w:p w14:paraId="62068BFA" w14:textId="77777777"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exhibited elevated heterotrophic bacteria abundance (Haas et al. 2016, Dinsdale et al. 2008) and our results and others suggest elevated humic-like DOM exudation. Exudation experiments have shown visible differences in the composition of coral and macroalgal exometabolomes with macroalgae releasing DOM enriched in specific carbohydrates (Nelson et al. 2013, Thobor et al. 2024), prenol lipids, benzenoids and heterocyclic compounds (Quinlan et al. 2025; Wegley Kelly et al. 2021). Additionally, algal exudates have been associated with greater microbial metabolic activity (oxygen demand) but less eﬀicient growth rate (carbon yield) (Haas et al. 2011, Nelson et al. 2013, Thobor et al. 2024). Taken together these field observations and experimental results support the hypothesis of microbialization in degraded reef conditions (Nelson et al. 2023, Silveira et al. 2017). The </w:t>
      </w:r>
      <w:r w:rsidRPr="00F0557B">
        <w:rPr>
          <w:rFonts w:ascii="Calibri" w:hAnsi="Calibri" w:cs="Calibri"/>
          <w:color w:val="000000" w:themeColor="text1"/>
        </w:rPr>
        <w:lastRenderedPageBreak/>
        <w:t>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 (Haas et al. 2011; Nelson et al. 2013). Algae-enriched communities were depleted in oligotrophic families of bacteria, consistent with previous studies which showed an enrichment in copiotrophic bacterial taxa in algal exudates (Haas et al. 2016), but did not show a clear enrichment in more commonplace copiotrophic taxa such as Flavobacteriaceae, Cryomorphaceaea, Rhodobacteraceae or Vibrionaceae widely reported enriched on algal exudates (Nelson et al. 2013, Weber et al. 2022, Quinlan et al. 2025). As such our results reinforce that algal exudates restructure bacterial communities away from oligotrophic specialists. Algae-enriched communities were enriched in 2 bacterial families: Leptotrichiaceae, a facultative to obligate anaerobe (Eisenberg et al. 2018), and Micavibrionaceae. However, limited information could be found on these enriched families.</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92" w:name="_Toc232771533"/>
      <w:bookmarkStart w:id="93" w:name="_Toc234162435"/>
      <w:r w:rsidRPr="00F0557B">
        <w:rPr>
          <w:rFonts w:ascii="Calibri" w:hAnsi="Calibri" w:cs="Calibri"/>
          <w:b/>
          <w:bCs/>
          <w:color w:val="000000" w:themeColor="text1"/>
        </w:rPr>
        <w:lastRenderedPageBreak/>
        <w:t>Conclusion</w:t>
      </w:r>
      <w:bookmarkEnd w:id="92"/>
      <w:bookmarkEnd w:id="93"/>
    </w:p>
    <w:p w14:paraId="68DA7BCC"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 Macroalgal enrichment is also associated with distinct bacterioplankton communities which are depleted of oligotrophic bacterial taxa. </w:t>
      </w:r>
    </w:p>
    <w:p w14:paraId="045FB6BE" w14:textId="20CC2D28"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94" w:name="_Toc232771534"/>
      <w:bookmarkStart w:id="95" w:name="_Toc234162436"/>
      <w:r w:rsidRPr="00F0557B">
        <w:rPr>
          <w:rFonts w:ascii="Calibri" w:hAnsi="Calibri" w:cs="Calibri"/>
          <w:b/>
          <w:bCs/>
          <w:color w:val="000000" w:themeColor="text1"/>
        </w:rPr>
        <w:lastRenderedPageBreak/>
        <w:t>References</w:t>
      </w:r>
      <w:bookmarkEnd w:id="94"/>
      <w:bookmarkEnd w:id="95"/>
    </w:p>
    <w:p w14:paraId="2FB79BA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themeColor="text1"/>
        </w:rPr>
        <w:fldChar w:fldCharType="begin"/>
      </w:r>
      <w:r w:rsidRPr="00FA3C7C">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Pr="00FA3C7C">
        <w:rPr>
          <w:rFonts w:ascii="Calibri" w:hAnsi="Calibri" w:cs="Calibri"/>
          <w:color w:val="000000"/>
          <w:lang w:val="en-US"/>
        </w:rPr>
        <w:t xml:space="preserve">Adam, T. C., Burkepile, D. E., Holbrook, S. J., Carpenter, R. C., Claudet, J., Loiseau, C., Thiault, L., Brooks, A. J., Washburn, L., &amp; Schmitt, R. J. (2021). Landscape‐scale patterns of nutrient enrichment in a coral reef ecosystem: Implications for coral to algae phase shifts. </w:t>
      </w:r>
      <w:r w:rsidRPr="00FA3C7C">
        <w:rPr>
          <w:rFonts w:ascii="Calibri" w:hAnsi="Calibri" w:cs="Calibri"/>
          <w:i/>
          <w:iCs/>
          <w:color w:val="000000"/>
          <w:lang w:val="en-US"/>
        </w:rPr>
        <w:t>Ecological Applications</w:t>
      </w:r>
      <w:r w:rsidRPr="00FA3C7C">
        <w:rPr>
          <w:rFonts w:ascii="Calibri" w:hAnsi="Calibri" w:cs="Calibri"/>
          <w:color w:val="000000"/>
          <w:lang w:val="en-US"/>
        </w:rPr>
        <w:t xml:space="preserve">, </w:t>
      </w:r>
      <w:r w:rsidRPr="00FA3C7C">
        <w:rPr>
          <w:rFonts w:ascii="Calibri" w:hAnsi="Calibri" w:cs="Calibri"/>
          <w:i/>
          <w:iCs/>
          <w:color w:val="000000"/>
          <w:lang w:val="en-US"/>
        </w:rPr>
        <w:t>31</w:t>
      </w:r>
      <w:r w:rsidRPr="00FA3C7C">
        <w:rPr>
          <w:rFonts w:ascii="Calibri" w:hAnsi="Calibri" w:cs="Calibri"/>
          <w:color w:val="000000"/>
          <w:lang w:val="en-US"/>
        </w:rPr>
        <w:t>(1), e2227. https://doi.org/10.1002/eap.2227</w:t>
      </w:r>
    </w:p>
    <w:p w14:paraId="31DA54F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Arisdakessian, C., Cleveland, S. B., &amp; Belcaid, M. (2020). MetaFlow|mics: Scalable and Reproducible Nextflow Pipelines for the Analysis of Microbiome Marker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120–124. https://doi.org/10.1145/3311790.3396664</w:t>
      </w:r>
    </w:p>
    <w:p w14:paraId="1FF9792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Bahr, K. D., Jokiel, P. L., &amp; Toonen, R. J. (2015). The unnatural history of Kāne‘ohe Bay: Coral reef resilience in the face of centuries of anthropogenic impacts.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 e950. https://doi.org/10.7717/peerj.950</w:t>
      </w:r>
    </w:p>
    <w:p w14:paraId="40A940E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Barott, K., Williams, G., Vermeij, M., Harris, J., Smith, J., Rohwer, F., &amp; Sandin, S. (2012). Natural history of coral−algae competition across a gradient of human activity in the Line Islands.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460</w:t>
      </w:r>
      <w:r w:rsidRPr="00FA3C7C">
        <w:rPr>
          <w:rFonts w:ascii="Calibri" w:hAnsi="Calibri" w:cs="Calibri"/>
          <w:color w:val="000000"/>
          <w:lang w:val="en-US"/>
        </w:rPr>
        <w:t>, 1–12. https://doi.org/10.3354/meps09874</w:t>
      </w:r>
    </w:p>
    <w:p w14:paraId="382AD9A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Brocke, H. J., Wenzhoefer, F., De Beer, D., Mueller, B., Van Duyl, F. C., &amp; Nugues, M. M. (2015). High dissolved organic carbon release by benthic cyanobacterial mats in a Caribbean reef ecosystem. </w:t>
      </w:r>
      <w:r w:rsidRPr="00FA3C7C">
        <w:rPr>
          <w:rFonts w:ascii="Calibri" w:hAnsi="Calibri" w:cs="Calibri"/>
          <w:i/>
          <w:iCs/>
          <w:color w:val="000000"/>
          <w:lang w:val="en-US"/>
        </w:rPr>
        <w:t>Scientific Reports</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(1), 8852. https://doi.org/10.1038/srep08852</w:t>
      </w:r>
    </w:p>
    <w:p w14:paraId="5EED5E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Bruno, J. F., &amp; Selig, E. R. (2007). Regional Decline of Coral Cover in the Indo-Pacific: Timing, Extent, and Subregional Comparisons.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2</w:t>
      </w:r>
      <w:r w:rsidRPr="00FA3C7C">
        <w:rPr>
          <w:rFonts w:ascii="Calibri" w:hAnsi="Calibri" w:cs="Calibri"/>
          <w:color w:val="000000"/>
          <w:lang w:val="en-US"/>
        </w:rPr>
        <w:t>(8), e711. https://doi.org/10.1371/journal.pone.0000711</w:t>
      </w:r>
    </w:p>
    <w:p w14:paraId="534E0A4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Burkepile, D. E., &amp; Hay, M. E. (2006). Herbivore Vs. Nutrient Control of Marine Primary Producers: Context-Dependent Effects. </w:t>
      </w:r>
      <w:r w:rsidRPr="00FA3C7C">
        <w:rPr>
          <w:rFonts w:ascii="Calibri" w:hAnsi="Calibri" w:cs="Calibri"/>
          <w:i/>
          <w:iCs/>
          <w:color w:val="000000"/>
          <w:lang w:val="en-US"/>
        </w:rPr>
        <w:t>Ecology</w:t>
      </w:r>
      <w:r w:rsidRPr="00FA3C7C">
        <w:rPr>
          <w:rFonts w:ascii="Calibri" w:hAnsi="Calibri" w:cs="Calibri"/>
          <w:color w:val="000000"/>
          <w:lang w:val="en-US"/>
        </w:rPr>
        <w:t xml:space="preserve">, </w:t>
      </w:r>
      <w:r w:rsidRPr="00FA3C7C">
        <w:rPr>
          <w:rFonts w:ascii="Calibri" w:hAnsi="Calibri" w:cs="Calibri"/>
          <w:i/>
          <w:iCs/>
          <w:color w:val="000000"/>
          <w:lang w:val="en-US"/>
        </w:rPr>
        <w:t>87</w:t>
      </w:r>
      <w:r w:rsidRPr="00FA3C7C">
        <w:rPr>
          <w:rFonts w:ascii="Calibri" w:hAnsi="Calibri" w:cs="Calibri"/>
          <w:color w:val="000000"/>
          <w:lang w:val="en-US"/>
        </w:rPr>
        <w:t>(12), 3128–3139. https://doi.org/10.1890/0012-9658(2006)87%5B3128:HVNCOM%5D2.0.CO;2</w:t>
      </w:r>
    </w:p>
    <w:p w14:paraId="73ECC9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Callahan, B. J., McMurdie, P. J., Rosen, M. J., Han, A. W., Johnson, A. J. A., &amp; Holmes, S. P. (2016). DADA2: High resolution sample inference from Illumina amplicon data. </w:t>
      </w:r>
      <w:r w:rsidRPr="00FA3C7C">
        <w:rPr>
          <w:rFonts w:ascii="Calibri" w:hAnsi="Calibri" w:cs="Calibri"/>
          <w:i/>
          <w:iCs/>
          <w:color w:val="000000"/>
          <w:lang w:val="en-US"/>
        </w:rPr>
        <w:t>Nature Methods</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(7), 581–583. https://doi.org/10.1038/nmeth.3869</w:t>
      </w:r>
    </w:p>
    <w:p w14:paraId="5DF6D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Caporaso, J. G., Ackermann, G., Apprill, A., Bauer, M., Berg-Lyons, D., Betley, J., Fierer, N., Fraser, L., Fuhrman, J. A., Gilbert, J. A., Gormley, N., Humphrey, G., Huntley, J., Jansson, J. K., Knight, R., Lauber, C. L., Lozupone, C. A., McNally, S., Needham, D. M., … Weber, L. (2018). </w:t>
      </w:r>
      <w:r w:rsidRPr="00FA3C7C">
        <w:rPr>
          <w:rFonts w:ascii="Calibri" w:hAnsi="Calibri" w:cs="Calibri"/>
          <w:i/>
          <w:iCs/>
          <w:color w:val="000000"/>
          <w:lang w:val="en-US"/>
        </w:rPr>
        <w:t>EMP 16S Illumina Amplicon Protocol V.1</w:t>
      </w:r>
      <w:r w:rsidRPr="00FA3C7C">
        <w:rPr>
          <w:rFonts w:ascii="Calibri" w:hAnsi="Calibri" w:cs="Calibri"/>
          <w:color w:val="000000"/>
          <w:lang w:val="en-US"/>
        </w:rPr>
        <w:t>. https://www.protocols.io/view/emp-16s-illumina-amplicon-protocol-kqdg3dzzl25z/v1</w:t>
      </w:r>
    </w:p>
    <w:p w14:paraId="60A4E4F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Cleveland, S., Arisdakessian, C., Nelson, C., Belcaid, M., Frank, K., &amp; Jacobs, G. (2022). The C-MĀIKI Gateway: A Modern Science Platform for Analyzing Microbiome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1–7. https://doi.org/10.1145/3491418.3530291</w:t>
      </w:r>
    </w:p>
    <w:p w14:paraId="30F1B0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Coble, P. G. (1996). Characterization of marine and terrestrial DOM in seawater using excitation-emission matrix spectroscopy.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51</w:t>
      </w:r>
      <w:r w:rsidRPr="00FA3C7C">
        <w:rPr>
          <w:rFonts w:ascii="Calibri" w:hAnsi="Calibri" w:cs="Calibri"/>
          <w:color w:val="000000"/>
          <w:lang w:val="en-US"/>
        </w:rPr>
        <w:t>(4), 325–346. https://doi.org/10.1016/0304-4203(95)00062-3</w:t>
      </w:r>
    </w:p>
    <w:p w14:paraId="4303682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Comstock, J., Nelson, C. E., James, A., Wear, E., Baetge, N., Remple, K., Juknavorian, A., &amp; Carlson, C. A. (2022). Bacterioplankton communities reveal horizontal and vertical influence of an Island Mass Effect.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24</w:t>
      </w:r>
      <w:r w:rsidRPr="00FA3C7C">
        <w:rPr>
          <w:rFonts w:ascii="Calibri" w:hAnsi="Calibri" w:cs="Calibri"/>
          <w:color w:val="000000"/>
          <w:lang w:val="en-US"/>
        </w:rPr>
        <w:t>(9), 4193–4208. https://doi.org/10.1111/1462-2920.16092</w:t>
      </w:r>
    </w:p>
    <w:p w14:paraId="74BEB4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Done, T. J. (1992). </w:t>
      </w:r>
      <w:r w:rsidRPr="00FA3C7C">
        <w:rPr>
          <w:rFonts w:ascii="Calibri" w:hAnsi="Calibri" w:cs="Calibri"/>
          <w:i/>
          <w:iCs/>
          <w:color w:val="000000"/>
          <w:lang w:val="en-US"/>
        </w:rPr>
        <w:t>Phase shifts in coral reef communities and their ecological significance</w:t>
      </w:r>
      <w:r w:rsidRPr="00FA3C7C">
        <w:rPr>
          <w:rFonts w:ascii="Calibri" w:hAnsi="Calibri" w:cs="Calibri"/>
          <w:color w:val="000000"/>
          <w:lang w:val="en-US"/>
        </w:rPr>
        <w:t>.</w:t>
      </w:r>
    </w:p>
    <w:p w14:paraId="532DA4A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Edmunds, P. J., John, C., Leichter, J. J., Moritz, C., Scafidi, K. C., Speare, K. E., Srednick, G., &amp; Wyatt, A. S. J. (2025). Long-term community dynamics are heterogeneous between fringing- and fore-reef habitats on an Indo-Pacific coral reef. </w:t>
      </w:r>
      <w:r w:rsidRPr="00FA3C7C">
        <w:rPr>
          <w:rFonts w:ascii="Calibri" w:hAnsi="Calibri" w:cs="Calibri"/>
          <w:i/>
          <w:iCs/>
          <w:color w:val="000000"/>
          <w:lang w:val="en-US"/>
        </w:rPr>
        <w:t>Ecosphere</w:t>
      </w:r>
      <w:r w:rsidRPr="00FA3C7C">
        <w:rPr>
          <w:rFonts w:ascii="Calibri" w:hAnsi="Calibri" w:cs="Calibri"/>
          <w:color w:val="000000"/>
          <w:lang w:val="en-US"/>
        </w:rPr>
        <w:t xml:space="preserve">, </w:t>
      </w:r>
      <w:r w:rsidRPr="00FA3C7C">
        <w:rPr>
          <w:rFonts w:ascii="Calibri" w:hAnsi="Calibri" w:cs="Calibri"/>
          <w:i/>
          <w:iCs/>
          <w:color w:val="000000"/>
          <w:lang w:val="en-US"/>
        </w:rPr>
        <w:t>16</w:t>
      </w:r>
      <w:r w:rsidRPr="00FA3C7C">
        <w:rPr>
          <w:rFonts w:ascii="Calibri" w:hAnsi="Calibri" w:cs="Calibri"/>
          <w:color w:val="000000"/>
          <w:lang w:val="en-US"/>
        </w:rPr>
        <w:t>(10), e70398. https://doi.org/10.1002/ecs2.70398</w:t>
      </w:r>
    </w:p>
    <w:p w14:paraId="19128C3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Frøslev, T. G., Kjøller, R., Bruun, H. H., Ejrnæs, R., Brunbjerg, A. K., Pietroni, C., &amp; Hansen, A. J. (2017). Algorithm for post-clustering curation of DNA amplicon data yields reliable biodiversity estimates. </w:t>
      </w:r>
      <w:r w:rsidRPr="00FA3C7C">
        <w:rPr>
          <w:rFonts w:ascii="Calibri" w:hAnsi="Calibri" w:cs="Calibri"/>
          <w:i/>
          <w:iCs/>
          <w:color w:val="000000"/>
          <w:lang w:val="en-US"/>
        </w:rPr>
        <w:t>Nature Communications</w:t>
      </w:r>
      <w:r w:rsidRPr="00FA3C7C">
        <w:rPr>
          <w:rFonts w:ascii="Calibri" w:hAnsi="Calibri" w:cs="Calibri"/>
          <w:color w:val="000000"/>
          <w:lang w:val="en-US"/>
        </w:rPr>
        <w:t xml:space="preserve">, </w:t>
      </w:r>
      <w:r w:rsidRPr="00FA3C7C">
        <w:rPr>
          <w:rFonts w:ascii="Calibri" w:hAnsi="Calibri" w:cs="Calibri"/>
          <w:i/>
          <w:iCs/>
          <w:color w:val="000000"/>
          <w:lang w:val="en-US"/>
        </w:rPr>
        <w:t>8</w:t>
      </w:r>
      <w:r w:rsidRPr="00FA3C7C">
        <w:rPr>
          <w:rFonts w:ascii="Calibri" w:hAnsi="Calibri" w:cs="Calibri"/>
          <w:color w:val="000000"/>
          <w:lang w:val="en-US"/>
        </w:rPr>
        <w:t>(1), 1188. https://doi.org/10.1038/s41467-017-01312-x</w:t>
      </w:r>
    </w:p>
    <w:p w14:paraId="7798C80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FA3C7C">
        <w:rPr>
          <w:rFonts w:ascii="Calibri" w:hAnsi="Calibri" w:cs="Calibri"/>
          <w:i/>
          <w:iCs/>
          <w:color w:val="000000"/>
          <w:lang w:val="en-US"/>
        </w:rPr>
        <w:t>Nature Microbiology</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(6), 16042. https://doi.org/10.1038/nmicrobiol.2016.42</w:t>
      </w:r>
    </w:p>
    <w:p w14:paraId="3B3EB66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Rohwer, F., Wegley-Kelly, L., Quistad, S. D., Carlson, C. A., Leichter, J. J., Hatay, M., &amp; Smith, J. E. (2013). Influence of coral and algal exudates on microbially mediated reef metabolism.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 e108. https://doi.org/10.7717/peerj.108</w:t>
      </w:r>
    </w:p>
    <w:p w14:paraId="6FE8124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Wegley Kelly, L., Carlson, C. A., Rohwer, F., Leichter, J. J., Wyatt, A., &amp; Smith, J. E. (2011). Effects of Coral Reef Benthic Primary Producers on Dissolved Organic Carbon and Microbial Activity.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6</w:t>
      </w:r>
      <w:r w:rsidRPr="00FA3C7C">
        <w:rPr>
          <w:rFonts w:ascii="Calibri" w:hAnsi="Calibri" w:cs="Calibri"/>
          <w:color w:val="000000"/>
          <w:lang w:val="en-US"/>
        </w:rPr>
        <w:t>(11), e27973. https://doi.org/10.1371/journal.pone.0027973</w:t>
      </w:r>
    </w:p>
    <w:p w14:paraId="3512734E"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lastRenderedPageBreak/>
        <w:t xml:space="preserve">Hughes, T. P. (1994). Catastrophes, Phase Shifts, and Large-Scale Degradation of a Caribbean Coral Reef. </w:t>
      </w:r>
      <w:r w:rsidRPr="00FA3C7C">
        <w:rPr>
          <w:rFonts w:ascii="Calibri" w:hAnsi="Calibri" w:cs="Calibri"/>
          <w:i/>
          <w:iCs/>
          <w:color w:val="000000"/>
          <w:lang w:val="fr-FR"/>
        </w:rPr>
        <w:t>Science</w:t>
      </w:r>
      <w:r w:rsidRPr="00FA3C7C">
        <w:rPr>
          <w:rFonts w:ascii="Calibri" w:hAnsi="Calibri" w:cs="Calibri"/>
          <w:color w:val="000000"/>
          <w:lang w:val="fr-FR"/>
        </w:rPr>
        <w:t xml:space="preserve">, </w:t>
      </w:r>
      <w:r w:rsidRPr="00FA3C7C">
        <w:rPr>
          <w:rFonts w:ascii="Calibri" w:hAnsi="Calibri" w:cs="Calibri"/>
          <w:i/>
          <w:iCs/>
          <w:color w:val="000000"/>
          <w:lang w:val="fr-FR"/>
        </w:rPr>
        <w:t>265</w:t>
      </w:r>
      <w:r w:rsidRPr="00FA3C7C">
        <w:rPr>
          <w:rFonts w:ascii="Calibri" w:hAnsi="Calibri" w:cs="Calibri"/>
          <w:color w:val="000000"/>
          <w:lang w:val="fr-FR"/>
        </w:rPr>
        <w:t>(5178), 1547–1551.</w:t>
      </w:r>
    </w:p>
    <w:p w14:paraId="1FDE49A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Huguet, A., Vacher, L., Relexans, S., Saubusse, S., Froidefond, J. M., &amp; Parlanti, E. (2009). </w:t>
      </w:r>
      <w:r w:rsidRPr="00FA3C7C">
        <w:rPr>
          <w:rFonts w:ascii="Calibri" w:hAnsi="Calibri" w:cs="Calibri"/>
          <w:color w:val="000000"/>
          <w:lang w:val="en-US"/>
        </w:rPr>
        <w:t xml:space="preserve">Properties of fluorescent dissolved organic matter in the Gironde Estuary. </w:t>
      </w:r>
      <w:r w:rsidRPr="00FA3C7C">
        <w:rPr>
          <w:rFonts w:ascii="Calibri" w:hAnsi="Calibri" w:cs="Calibri"/>
          <w:i/>
          <w:iCs/>
          <w:color w:val="000000"/>
          <w:lang w:val="en-US"/>
        </w:rPr>
        <w:t>Organic Geochemistry</w:t>
      </w:r>
      <w:r w:rsidRPr="00FA3C7C">
        <w:rPr>
          <w:rFonts w:ascii="Calibri" w:hAnsi="Calibri" w:cs="Calibri"/>
          <w:color w:val="000000"/>
          <w:lang w:val="en-US"/>
        </w:rPr>
        <w:t xml:space="preserve">, </w:t>
      </w:r>
      <w:r w:rsidRPr="00FA3C7C">
        <w:rPr>
          <w:rFonts w:ascii="Calibri" w:hAnsi="Calibri" w:cs="Calibri"/>
          <w:i/>
          <w:iCs/>
          <w:color w:val="000000"/>
          <w:lang w:val="en-US"/>
        </w:rPr>
        <w:t>40</w:t>
      </w:r>
      <w:r w:rsidRPr="00FA3C7C">
        <w:rPr>
          <w:rFonts w:ascii="Calibri" w:hAnsi="Calibri" w:cs="Calibri"/>
          <w:color w:val="000000"/>
          <w:lang w:val="en-US"/>
        </w:rPr>
        <w:t>(6), 706–719. https://doi.org/10.1016/j.orggeochem.2009.03.002</w:t>
      </w:r>
    </w:p>
    <w:p w14:paraId="2DBD89F4"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Jani, A. J., Bushell, J., Arisdakessian, C. G., Belcaid, M., Boiano, D. M., Brown, C., &amp; Knapp, R. A. (2021). The amphibian microbiome exhibits poor resilience following pathogen-induced disturbance.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(6), 1628–1640. https://doi.org/10.1038/s41396-020-00875-w</w:t>
      </w:r>
    </w:p>
    <w:p w14:paraId="5B62252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70</w:t>
      </w:r>
      <w:r w:rsidRPr="00FA3C7C">
        <w:rPr>
          <w:rFonts w:ascii="Calibri" w:hAnsi="Calibri" w:cs="Calibri"/>
          <w:color w:val="000000"/>
          <w:lang w:val="en-US"/>
        </w:rPr>
        <w:t>(12), 3741–3754. https://doi.org/10.1002/lno.70240</w:t>
      </w:r>
    </w:p>
    <w:p w14:paraId="5F37A533"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t xml:space="preserve">Jones, R., Fisher, R., &amp; Bessell-Browne, P. (2019). Sediment deposition and coral smothering. </w:t>
      </w:r>
      <w:r w:rsidRPr="00FA3C7C">
        <w:rPr>
          <w:rFonts w:ascii="Calibri" w:hAnsi="Calibri" w:cs="Calibri"/>
          <w:i/>
          <w:iCs/>
          <w:color w:val="000000"/>
          <w:lang w:val="fr-FR"/>
        </w:rPr>
        <w:t>PLOS ONE</w:t>
      </w:r>
      <w:r w:rsidRPr="00FA3C7C">
        <w:rPr>
          <w:rFonts w:ascii="Calibri" w:hAnsi="Calibri" w:cs="Calibri"/>
          <w:color w:val="000000"/>
          <w:lang w:val="fr-FR"/>
        </w:rPr>
        <w:t xml:space="preserve">, </w:t>
      </w:r>
      <w:r w:rsidRPr="00FA3C7C">
        <w:rPr>
          <w:rFonts w:ascii="Calibri" w:hAnsi="Calibri" w:cs="Calibri"/>
          <w:i/>
          <w:iCs/>
          <w:color w:val="000000"/>
          <w:lang w:val="fr-FR"/>
        </w:rPr>
        <w:t>14</w:t>
      </w:r>
      <w:r w:rsidRPr="00FA3C7C">
        <w:rPr>
          <w:rFonts w:ascii="Calibri" w:hAnsi="Calibri" w:cs="Calibri"/>
          <w:color w:val="000000"/>
          <w:lang w:val="fr-FR"/>
        </w:rPr>
        <w:t>(6), e0216248. https://doi.org/10.1371/journal.pone.0216248</w:t>
      </w:r>
    </w:p>
    <w:p w14:paraId="74C98E8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Kayal, M., Vercelloni, J., Lison De Loma, T., Bosserelle, P., Chancerelle, Y., Geoffroy, S., Stievenart, C., Michonneau, F., Penin, L., Planes, S., &amp; Adjeroud, M. (2012). </w:t>
      </w:r>
      <w:r w:rsidRPr="00FA3C7C">
        <w:rPr>
          <w:rFonts w:ascii="Calibri" w:hAnsi="Calibri" w:cs="Calibri"/>
          <w:color w:val="000000"/>
          <w:lang w:val="en-US"/>
        </w:rPr>
        <w:t xml:space="preserve">Predator Crown-of-Thorns Starfish (Acanthaster planci) Outbreak, Mass Mortality of Corals, and Cascading Effects on Reef Fish and Benthic Communities.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(10), e47363. https://doi.org/10.1371/journal.pone.0047363</w:t>
      </w:r>
    </w:p>
    <w:p w14:paraId="736E050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Kealoha, A., Calil, P. H. R., Hawco, N. J., Masessa, G., Mattos, J., Nalley, E., Nelson, C. E., Summers, T., Swift, S., Peterman, J., Rohrbaugh, N., &amp; Tegler, L. (2025). </w:t>
      </w:r>
      <w:r w:rsidRPr="00FA3C7C">
        <w:rPr>
          <w:rFonts w:ascii="Calibri" w:hAnsi="Calibri" w:cs="Calibri"/>
          <w:i/>
          <w:iCs/>
          <w:color w:val="000000"/>
          <w:lang w:val="en-US"/>
        </w:rPr>
        <w:t>Water quality parameters from discrete shoreline and transect sampling in West Maui (Lahaina area), Hawaiʻi, following the Lahaina Wildfires, Aug 2023 to Oct 2024</w:t>
      </w:r>
      <w:r w:rsidRPr="00FA3C7C">
        <w:rPr>
          <w:rFonts w:ascii="Calibri" w:hAnsi="Calibri" w:cs="Calibri"/>
          <w:color w:val="000000"/>
          <w:lang w:val="en-US"/>
        </w:rPr>
        <w:t>. https://hdl.handle.net/1912/72314</w:t>
      </w:r>
    </w:p>
    <w:p w14:paraId="5EC3763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Kothawala, D. N., Murphy, K. R., Stedmon, C. A., Weyhenmeyer, G. A., &amp; Tranvik, L. J. (2013). Inner filter correction of dissolved organic matter fluorescence.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11</w:t>
      </w:r>
      <w:r w:rsidRPr="00FA3C7C">
        <w:rPr>
          <w:rFonts w:ascii="Calibri" w:hAnsi="Calibri" w:cs="Calibri"/>
          <w:color w:val="000000"/>
          <w:lang w:val="en-US"/>
        </w:rPr>
        <w:t>(12), 616–630. https://doi.org/10.4319/lom.2013.11.616</w:t>
      </w:r>
    </w:p>
    <w:p w14:paraId="0B9A2C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Lawaetz, A., &amp; Stedmon, C. (2009). Fluorescence Intensity Calibration Using the Raman Scatter Peak of Water. </w:t>
      </w:r>
      <w:r w:rsidRPr="00FA3C7C">
        <w:rPr>
          <w:rFonts w:ascii="Calibri" w:hAnsi="Calibri" w:cs="Calibri"/>
          <w:i/>
          <w:iCs/>
          <w:color w:val="000000"/>
          <w:lang w:val="en-US"/>
        </w:rPr>
        <w:t>Applied Spectroscopy</w:t>
      </w:r>
      <w:r w:rsidRPr="00FA3C7C">
        <w:rPr>
          <w:rFonts w:ascii="Calibri" w:hAnsi="Calibri" w:cs="Calibri"/>
          <w:color w:val="000000"/>
          <w:lang w:val="en-US"/>
        </w:rPr>
        <w:t xml:space="preserve">, </w:t>
      </w:r>
      <w:r w:rsidRPr="00FA3C7C">
        <w:rPr>
          <w:rFonts w:ascii="Calibri" w:hAnsi="Calibri" w:cs="Calibri"/>
          <w:i/>
          <w:iCs/>
          <w:color w:val="000000"/>
          <w:lang w:val="en-US"/>
        </w:rPr>
        <w:t>63</w:t>
      </w:r>
      <w:r w:rsidRPr="00FA3C7C">
        <w:rPr>
          <w:rFonts w:ascii="Calibri" w:hAnsi="Calibri" w:cs="Calibri"/>
          <w:color w:val="000000"/>
          <w:lang w:val="en-US"/>
        </w:rPr>
        <w:t>, 936–940. https://doi.org/10.1366/000370209788964548</w:t>
      </w:r>
    </w:p>
    <w:p w14:paraId="34B7E5D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FA3C7C">
        <w:rPr>
          <w:rFonts w:ascii="Calibri" w:hAnsi="Calibri" w:cs="Calibri"/>
          <w:i/>
          <w:iCs/>
          <w:color w:val="000000"/>
          <w:lang w:val="en-US"/>
        </w:rPr>
        <w:t>Oceanography</w:t>
      </w:r>
      <w:r w:rsidRPr="00FA3C7C">
        <w:rPr>
          <w:rFonts w:ascii="Calibri" w:hAnsi="Calibri" w:cs="Calibri"/>
          <w:color w:val="000000"/>
          <w:lang w:val="en-US"/>
        </w:rPr>
        <w:t xml:space="preserve">, </w:t>
      </w:r>
      <w:r w:rsidRPr="00FA3C7C">
        <w:rPr>
          <w:rFonts w:ascii="Calibri" w:hAnsi="Calibri" w:cs="Calibri"/>
          <w:i/>
          <w:iCs/>
          <w:color w:val="000000"/>
          <w:lang w:val="en-US"/>
        </w:rPr>
        <w:t>26</w:t>
      </w:r>
      <w:r w:rsidRPr="00FA3C7C">
        <w:rPr>
          <w:rFonts w:ascii="Calibri" w:hAnsi="Calibri" w:cs="Calibri"/>
          <w:color w:val="000000"/>
          <w:lang w:val="en-US"/>
        </w:rPr>
        <w:t>(3), 52–63. https://doi.org/10.5670/oceanog.2013.45</w:t>
      </w:r>
    </w:p>
    <w:p w14:paraId="0DF83A0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Lesser, M. P. (2021). Eutrophication on Coral Reefs: What Is the Evidence for Phase Shifts, Nutrient Limitation and Coral Bleaching. </w:t>
      </w:r>
      <w:r w:rsidRPr="00FA3C7C">
        <w:rPr>
          <w:rFonts w:ascii="Calibri" w:hAnsi="Calibri" w:cs="Calibri"/>
          <w:i/>
          <w:iCs/>
          <w:color w:val="000000"/>
          <w:lang w:val="en-US"/>
        </w:rPr>
        <w:t>BioScience</w:t>
      </w:r>
      <w:r w:rsidRPr="00FA3C7C">
        <w:rPr>
          <w:rFonts w:ascii="Calibri" w:hAnsi="Calibri" w:cs="Calibri"/>
          <w:color w:val="000000"/>
          <w:lang w:val="en-US"/>
        </w:rPr>
        <w:t xml:space="preserve">, </w:t>
      </w:r>
      <w:r w:rsidRPr="00FA3C7C">
        <w:rPr>
          <w:rFonts w:ascii="Calibri" w:hAnsi="Calibri" w:cs="Calibri"/>
          <w:i/>
          <w:iCs/>
          <w:color w:val="000000"/>
          <w:lang w:val="en-US"/>
        </w:rPr>
        <w:t>71</w:t>
      </w:r>
      <w:r w:rsidRPr="00FA3C7C">
        <w:rPr>
          <w:rFonts w:ascii="Calibri" w:hAnsi="Calibri" w:cs="Calibri"/>
          <w:color w:val="000000"/>
          <w:lang w:val="en-US"/>
        </w:rPr>
        <w:t>(12), 1216–1233. https://doi.org/10.1093/biosci/biab101</w:t>
      </w:r>
    </w:p>
    <w:p w14:paraId="06D5D8E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McCook, L. J. (1999). Macroalgae, nutrients and phase shifts on coral reefs: Scientific issues and management consequences for the Great Barrier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18</w:t>
      </w:r>
      <w:r w:rsidRPr="00FA3C7C">
        <w:rPr>
          <w:rFonts w:ascii="Calibri" w:hAnsi="Calibri" w:cs="Calibri"/>
          <w:color w:val="000000"/>
          <w:lang w:val="en-US"/>
        </w:rPr>
        <w:t>(4), 357–367. https://doi.org/10.1007/s003380050213</w:t>
      </w:r>
    </w:p>
    <w:p w14:paraId="54EE297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McKnight, D. M., Boyer, E. W., Westerhoff, P. K., Doran, P. T., Kulbe, T., &amp; Andersen, D. T. (2001). Spectrofluorometric characterization of dissolved organic matter for indication of precursor organic material and aromaticity.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46</w:t>
      </w:r>
      <w:r w:rsidRPr="00FA3C7C">
        <w:rPr>
          <w:rFonts w:ascii="Calibri" w:hAnsi="Calibri" w:cs="Calibri"/>
          <w:color w:val="000000"/>
          <w:lang w:val="en-US"/>
        </w:rPr>
        <w:t>(1), 38–48. https://doi.org/10.4319/lo.2001.46.1.0038</w:t>
      </w:r>
    </w:p>
    <w:p w14:paraId="4FBACD5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Morrow, K. M., Ritson-Williams, R., Ross, C., Liles, M. R., &amp; Paul, V. J. (2012). Macroalgal Extracts Induce Bacterial Assemblage Shifts and Sublethal Tissue Stress in Caribbean Corals.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(9), e44859. https://doi.org/10.1371/journal.pone.0044859</w:t>
      </w:r>
    </w:p>
    <w:p w14:paraId="4C648B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Alldredge, A. L., McCliment, E. A., Amaral-Zettler, L. A., &amp; Carlson, C. A. (2011). Depleted dissolved organic carbon and distinct bacterial communities in the water column of a rapid-flushing coral reef ecosystem.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(8), 1374–1387. https://doi.org/10.1038/ismej.2011.12</w:t>
      </w:r>
    </w:p>
    <w:p w14:paraId="484881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177</w:t>
      </w:r>
      <w:r w:rsidRPr="00FA3C7C">
        <w:rPr>
          <w:rFonts w:ascii="Calibri" w:hAnsi="Calibri" w:cs="Calibri"/>
          <w:color w:val="000000"/>
          <w:lang w:val="en-US"/>
        </w:rPr>
        <w:t>, 232–243. https://doi.org/10.1016/j.marchem.2015.06.026</w:t>
      </w:r>
    </w:p>
    <w:p w14:paraId="20AB0FB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Goldberg, S. J., Wegley Kelly, L., Haas, A. F., Smith, J. E., Rohwer, F., &amp; Carlson, C. A. (2013). Coral and macroalgal exudates vary in neutral sugar composition and differentially enrich reef bacterioplankton lineages.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(5), 962–979. https://doi.org/10.1038/ismej.2012.161</w:t>
      </w:r>
    </w:p>
    <w:p w14:paraId="5D86D92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Wegley Kelly, L., &amp; Haas, A. F. (2023). Microbial Interactions with Dissolved Organic Matter Are Central to Coral Reef Ecosystem Function and Resilience. </w:t>
      </w:r>
      <w:r w:rsidRPr="00FA3C7C">
        <w:rPr>
          <w:rFonts w:ascii="Calibri" w:hAnsi="Calibri" w:cs="Calibri"/>
          <w:i/>
          <w:iCs/>
          <w:color w:val="000000"/>
          <w:lang w:val="en-US"/>
        </w:rPr>
        <w:t xml:space="preserve">Annual Review of </w:t>
      </w:r>
      <w:r w:rsidRPr="00FA3C7C">
        <w:rPr>
          <w:rFonts w:ascii="Calibri" w:hAnsi="Calibri" w:cs="Calibri"/>
          <w:i/>
          <w:iCs/>
          <w:color w:val="000000"/>
          <w:lang w:val="en-US"/>
        </w:rPr>
        <w:lastRenderedPageBreak/>
        <w:t>Marine Science</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(1), 431–460. https://doi.org/10.1146/annurev-marine-042121-080917</w:t>
      </w:r>
    </w:p>
    <w:p w14:paraId="1945F9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Oksanen, J., Simpson, G. L., Blanchet, F. G., Kindt, R., Legendre, P., Minchin, P. R., O’Hara, R. B., Solymos, P., Stevens, M. H. H., Szoecs, E., Wagner, H., Barbour, M., Bedward, M., Bolker, B., Borcard, D., Borman, T., Carvalho, G., Chirico, M., Caceres, M. D., … Weedon, J. (2026). </w:t>
      </w:r>
      <w:r w:rsidRPr="00FA3C7C">
        <w:rPr>
          <w:rFonts w:ascii="Calibri" w:hAnsi="Calibri" w:cs="Calibri"/>
          <w:i/>
          <w:iCs/>
          <w:color w:val="000000"/>
          <w:lang w:val="en-US"/>
        </w:rPr>
        <w:t>vegan: Community Ecology Package</w:t>
      </w:r>
      <w:r w:rsidRPr="00FA3C7C">
        <w:rPr>
          <w:rFonts w:ascii="Calibri" w:hAnsi="Calibri" w:cs="Calibri"/>
          <w:color w:val="000000"/>
          <w:lang w:val="en-US"/>
        </w:rPr>
        <w:t xml:space="preserve"> (Version 2.7-3) [Computer software]. https://cran.r-project.org/web/packages/vegan/index.html</w:t>
      </w:r>
    </w:p>
    <w:p w14:paraId="2C8163C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Palmer, C. V., Rodríguez Esquivel, S. V., &amp; Parker, C. M. (2025). El Niño-driven phase shift to algal dominance on Isla del Caño’s coral reefs: Implications for urgent restoration.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 e20088. https://doi.org/10.7717/peerj.20088</w:t>
      </w:r>
    </w:p>
    <w:p w14:paraId="7ADE1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27</w:t>
      </w:r>
      <w:r w:rsidRPr="00FA3C7C">
        <w:rPr>
          <w:rFonts w:ascii="Calibri" w:hAnsi="Calibri" w:cs="Calibri"/>
          <w:color w:val="000000"/>
          <w:lang w:val="en-US"/>
        </w:rPr>
        <w:t>(3), e70064. https://doi.org/10.1111/1462-2920.70064</w:t>
      </w:r>
    </w:p>
    <w:p w14:paraId="342724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FA3C7C">
        <w:rPr>
          <w:rFonts w:ascii="Calibri" w:hAnsi="Calibri" w:cs="Calibri"/>
          <w:i/>
          <w:iCs/>
          <w:color w:val="000000"/>
          <w:lang w:val="en-US"/>
        </w:rPr>
        <w:t>Limnology and Oceanography Letters</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(4), 331–340. https://doi.org/10.1002/lol2.10074</w:t>
      </w:r>
    </w:p>
    <w:p w14:paraId="5CAED12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Rognes, T., Flouri, T., Nichols, B., Quince, C., &amp; Mahé, F. (2016). VSEARCH: A versatile open source tool for metagenomics.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4</w:t>
      </w:r>
      <w:r w:rsidRPr="00FA3C7C">
        <w:rPr>
          <w:rFonts w:ascii="Calibri" w:hAnsi="Calibri" w:cs="Calibri"/>
          <w:color w:val="000000"/>
          <w:lang w:val="en-US"/>
        </w:rPr>
        <w:t>, e2584. https://doi.org/10.7717/peerj.2584</w:t>
      </w:r>
    </w:p>
    <w:p w14:paraId="399AC2E6"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RStudio Team. (2022). </w:t>
      </w:r>
      <w:r w:rsidRPr="00FA3C7C">
        <w:rPr>
          <w:rFonts w:ascii="Calibri" w:hAnsi="Calibri" w:cs="Calibri"/>
          <w:i/>
          <w:iCs/>
          <w:color w:val="000000"/>
          <w:lang w:val="en-US"/>
        </w:rPr>
        <w:t>RStudio: Integrated Development Environment for R</w:t>
      </w:r>
      <w:r w:rsidRPr="00FA3C7C">
        <w:rPr>
          <w:rFonts w:ascii="Calibri" w:hAnsi="Calibri" w:cs="Calibri"/>
          <w:color w:val="000000"/>
          <w:lang w:val="en-US"/>
        </w:rPr>
        <w:t xml:space="preserve"> [Computer software]. RStudio, PBC. http://www.rstudio.com/</w:t>
      </w:r>
    </w:p>
    <w:p w14:paraId="0133C37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75</w:t>
      </w:r>
      <w:r w:rsidRPr="00FA3C7C">
        <w:rPr>
          <w:rFonts w:ascii="Calibri" w:hAnsi="Calibri" w:cs="Calibri"/>
          <w:color w:val="000000"/>
          <w:lang w:val="en-US"/>
        </w:rPr>
        <w:t>(23), 7537–7541. https://doi.org/10.1128/AEM.01541-09</w:t>
      </w:r>
    </w:p>
    <w:p w14:paraId="39DE011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Schmitt, R. J., Holbrook, S. J., Davis, S. L., Brooks, A. J., &amp; Adam, T. C. (2019). Experimental support for alternative attractors on coral reefs.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116</w:t>
      </w:r>
      <w:r w:rsidRPr="00FA3C7C">
        <w:rPr>
          <w:rFonts w:ascii="Calibri" w:hAnsi="Calibri" w:cs="Calibri"/>
          <w:color w:val="000000"/>
          <w:lang w:val="en-US"/>
        </w:rPr>
        <w:t>(10), 4372–4381. https://doi.org/10.1073/pnas.1812412116</w:t>
      </w:r>
    </w:p>
    <w:p w14:paraId="14DBF7C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Selph, K. E. (2021). Enumeration of marine microbial organisms by flow cytometry using near-UV excitation of Hoechst 34580-stained DNA.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(10), 692–701. https://doi.org/10.1002/lom3.10454</w:t>
      </w:r>
    </w:p>
    <w:p w14:paraId="55BCF28B"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Silveira, C. B., Silva‐Lima, A. W., Francini‐Filho, R. B., Marques, J. S. M., Almeida, M. G., Thompson, C. C., Rezende, C. E., Paranhos, R., Moura, R. L., Salomon, P. S., &amp; Thompson, F. L. (2015). Microbial and sponge loops modify fish production in phase‐shifting coral reefs.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17</w:t>
      </w:r>
      <w:r w:rsidRPr="00FA3C7C">
        <w:rPr>
          <w:rFonts w:ascii="Calibri" w:hAnsi="Calibri" w:cs="Calibri"/>
          <w:color w:val="000000"/>
          <w:lang w:val="en-US"/>
        </w:rPr>
        <w:t>(10), 3832–3846. https://doi.org/10.1111/1462-2920.12851</w:t>
      </w:r>
    </w:p>
    <w:p w14:paraId="4CB19E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Shaw, M., Edwards, R., Obura, D., Pantos, O., Sala, E., Sandin, S., Smriga, S., Hatay, M., &amp; Rohwer, F. (2006). Indirect effects of algae on coral: Algae-mediated, microbe-induced </w:t>
      </w:r>
      <w:r w:rsidRPr="00FA3C7C">
        <w:rPr>
          <w:rFonts w:ascii="Calibri" w:hAnsi="Calibri" w:cs="Calibri"/>
          <w:color w:val="000000"/>
          <w:lang w:val="en-US"/>
        </w:rPr>
        <w:lastRenderedPageBreak/>
        <w:t xml:space="preserve">coral mortality. </w:t>
      </w:r>
      <w:r w:rsidRPr="00FA3C7C">
        <w:rPr>
          <w:rFonts w:ascii="Calibri" w:hAnsi="Calibri" w:cs="Calibri"/>
          <w:i/>
          <w:iCs/>
          <w:color w:val="000000"/>
          <w:lang w:val="en-US"/>
        </w:rPr>
        <w:t>Ecology Letters</w:t>
      </w:r>
      <w:r w:rsidRPr="00FA3C7C">
        <w:rPr>
          <w:rFonts w:ascii="Calibri" w:hAnsi="Calibri" w:cs="Calibri"/>
          <w:color w:val="000000"/>
          <w:lang w:val="en-US"/>
        </w:rPr>
        <w:t xml:space="preserve">, </w:t>
      </w:r>
      <w:r w:rsidRPr="00FA3C7C">
        <w:rPr>
          <w:rFonts w:ascii="Calibri" w:hAnsi="Calibri" w:cs="Calibri"/>
          <w:i/>
          <w:iCs/>
          <w:color w:val="000000"/>
          <w:lang w:val="en-US"/>
        </w:rPr>
        <w:t>9</w:t>
      </w:r>
      <w:r w:rsidRPr="00FA3C7C">
        <w:rPr>
          <w:rFonts w:ascii="Calibri" w:hAnsi="Calibri" w:cs="Calibri"/>
          <w:color w:val="000000"/>
          <w:lang w:val="en-US"/>
        </w:rPr>
        <w:t>, 835–845. https://doi.org/10.1111/j.1461-0248.2006.00937.x</w:t>
      </w:r>
    </w:p>
    <w:p w14:paraId="551102B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Smith, C., &amp; Hunter, C. (2001). An experimental analysis of the effects of herbivory and nutrient enrichment on benthic community dynamics on a Hawaiian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(4), 332–342. https://doi.org/10.1007/s003380000124</w:t>
      </w:r>
    </w:p>
    <w:p w14:paraId="08A153C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FA3C7C">
        <w:rPr>
          <w:rFonts w:ascii="Calibri" w:hAnsi="Calibri" w:cs="Calibri"/>
          <w:i/>
          <w:iCs/>
          <w:color w:val="000000"/>
          <w:lang w:val="en-US"/>
        </w:rPr>
        <w:t>Communications Biology</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 160. https://doi.org/10.1038/s42003-023-05730-0</w:t>
      </w:r>
    </w:p>
    <w:p w14:paraId="3017254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Tanaka, Y., Ogawa, H., &amp; Miyajima, T. (2011). Bacterial decomposition of coral mucus as evaluated by long-term and quantitative observation.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30</w:t>
      </w:r>
      <w:r w:rsidRPr="00FA3C7C">
        <w:rPr>
          <w:rFonts w:ascii="Calibri" w:hAnsi="Calibri" w:cs="Calibri"/>
          <w:color w:val="000000"/>
          <w:lang w:val="en-US"/>
        </w:rPr>
        <w:t>(2), 443–449. https://doi.org/10.1007/s00338-011-0729-3</w:t>
      </w:r>
    </w:p>
    <w:p w14:paraId="02FEBD1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FA3C7C">
        <w:rPr>
          <w:rFonts w:ascii="Calibri" w:hAnsi="Calibri" w:cs="Calibri"/>
          <w:i/>
          <w:iCs/>
          <w:color w:val="000000"/>
          <w:lang w:val="en-US"/>
        </w:rPr>
        <w:t>mSystems</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(1), e00009-15. https://doi.org/10.1128/mSystems.00009-15</w:t>
      </w:r>
    </w:p>
    <w:p w14:paraId="01A7CA3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Wang, Q., Garrity, G. M., Tiedje, J. M., &amp; Cole, J. R. (2007). Naïve Bayesian Classifier for Rapid Assignment of rRNA Sequences into the New Bacterial Taxonomy.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73</w:t>
      </w:r>
      <w:r w:rsidRPr="00FA3C7C">
        <w:rPr>
          <w:rFonts w:ascii="Calibri" w:hAnsi="Calibri" w:cs="Calibri"/>
          <w:color w:val="000000"/>
          <w:lang w:val="en-US"/>
        </w:rPr>
        <w:t>(16), 5261–5267. https://doi.org/10.1128/AEM.00062-07</w:t>
      </w:r>
    </w:p>
    <w:p w14:paraId="1D0614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macroalgae and reef-building corals.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119</w:t>
      </w:r>
      <w:r w:rsidRPr="00FA3C7C">
        <w:rPr>
          <w:rFonts w:ascii="Calibri" w:hAnsi="Calibri" w:cs="Calibri"/>
          <w:color w:val="000000"/>
          <w:lang w:val="en-US"/>
        </w:rPr>
        <w:t>(5), e2110283119. https://doi.org/10.1073/pnas.2110283119</w:t>
      </w:r>
    </w:p>
    <w:p w14:paraId="0D5AAA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Wickham, H. (2016). </w:t>
      </w:r>
      <w:r w:rsidRPr="00FA3C7C">
        <w:rPr>
          <w:rFonts w:ascii="Calibri" w:hAnsi="Calibri" w:cs="Calibri"/>
          <w:i/>
          <w:iCs/>
          <w:color w:val="000000"/>
          <w:lang w:val="en-US"/>
        </w:rPr>
        <w:t>ggplot2: Elegant graphics for data analysis</w:t>
      </w:r>
      <w:r w:rsidRPr="00FA3C7C">
        <w:rPr>
          <w:rFonts w:ascii="Calibri" w:hAnsi="Calibri" w:cs="Calibri"/>
          <w:color w:val="000000"/>
          <w:lang w:val="en-US"/>
        </w:rPr>
        <w:t>. Springer-Verlag New York. https://ggplot2.tidyverse.org</w:t>
      </w:r>
    </w:p>
    <w:p w14:paraId="6A474B5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Wild, C., Niggl, W., Naumann, M., &amp; Haas, A. (2010). Organic matter release by Red Sea coral reef organisms—Potential effects on microbial activity and in situ O2 availability.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411</w:t>
      </w:r>
      <w:r w:rsidRPr="00FA3C7C">
        <w:rPr>
          <w:rFonts w:ascii="Calibri" w:hAnsi="Calibri" w:cs="Calibri"/>
          <w:color w:val="000000"/>
          <w:lang w:val="en-US"/>
        </w:rPr>
        <w:t>, 61–71. https://doi.org/10.3354/meps08653</w:t>
      </w:r>
    </w:p>
    <w:p w14:paraId="4C231F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Yilmaz, P., Parfrey, L. W., Yarza, P., Gerken, J., Pruesse, E., Quast, C., Schweer, T., Peplies, J., Ludwig, W., &amp; Glöckner, F. O. (2014). The SILVA and “All-species Living Tree Project (LTP)” taxonomic frameworks. </w:t>
      </w:r>
      <w:r w:rsidRPr="00FA3C7C">
        <w:rPr>
          <w:rFonts w:ascii="Calibri" w:hAnsi="Calibri" w:cs="Calibri"/>
          <w:i/>
          <w:iCs/>
          <w:color w:val="000000"/>
          <w:lang w:val="en-US"/>
        </w:rPr>
        <w:t>Nucleic Acids Research</w:t>
      </w:r>
      <w:r w:rsidRPr="00FA3C7C">
        <w:rPr>
          <w:rFonts w:ascii="Calibri" w:hAnsi="Calibri" w:cs="Calibri"/>
          <w:color w:val="000000"/>
          <w:lang w:val="en-US"/>
        </w:rPr>
        <w:t xml:space="preserve">, </w:t>
      </w:r>
      <w:r w:rsidRPr="00FA3C7C">
        <w:rPr>
          <w:rFonts w:ascii="Calibri" w:hAnsi="Calibri" w:cs="Calibri"/>
          <w:i/>
          <w:iCs/>
          <w:color w:val="000000"/>
          <w:lang w:val="en-US"/>
        </w:rPr>
        <w:t>42</w:t>
      </w:r>
      <w:r w:rsidRPr="00FA3C7C">
        <w:rPr>
          <w:rFonts w:ascii="Calibri" w:hAnsi="Calibri" w:cs="Calibri"/>
          <w:color w:val="000000"/>
          <w:lang w:val="en-US"/>
        </w:rPr>
        <w:t>(D1), D643–D648. https://doi.org/10.1093/nar/gkt1209</w:t>
      </w:r>
    </w:p>
    <w:p w14:paraId="1CD2B242" w14:textId="33A7BF5C" w:rsidR="00FA3C7C" w:rsidRDefault="00FF1900" w:rsidP="00934F70">
      <w:pPr>
        <w:spacing w:line="360" w:lineRule="auto"/>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96" w:name="_Toc234162437"/>
      <w:r w:rsidRPr="00FA3C7C">
        <w:rPr>
          <w:rFonts w:ascii="Helvetica" w:hAnsi="Helvetica"/>
          <w:b/>
          <w:bCs/>
          <w:color w:val="000000" w:themeColor="text1"/>
        </w:rPr>
        <w:lastRenderedPageBreak/>
        <w:t>Supplemental Material</w:t>
      </w:r>
      <w:bookmarkEnd w:id="96"/>
    </w:p>
    <w:p w14:paraId="2E230670" w14:textId="77777777" w:rsidR="00F3107C" w:rsidRDefault="00F3107C" w:rsidP="00F3107C"/>
    <w:p w14:paraId="05B14630" w14:textId="3269B760" w:rsidR="00F3107C" w:rsidRDefault="00F3107C" w:rsidP="00F3107C">
      <w:pPr>
        <w:pStyle w:val="Lgende"/>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ANOVA Results of Square root-transformed OTU relative abundance </w:t>
      </w:r>
    </w:p>
    <w:p w14:paraId="07FD70E3" w14:textId="5A91200F" w:rsidR="00F3107C" w:rsidRDefault="00F3107C" w:rsidP="00F3107C">
      <w:pPr>
        <w:keepNext/>
        <w:jc w:val="center"/>
      </w:pPr>
      <w:r>
        <w:rPr>
          <w:noProof/>
        </w:rPr>
        <w:drawing>
          <wp:inline distT="0" distB="0" distL="0" distR="0" wp14:anchorId="75531EB7" wp14:editId="10B6D35A">
            <wp:extent cx="3423684" cy="6902760"/>
            <wp:effectExtent l="0" t="0" r="5715" b="0"/>
            <wp:docPr id="2098085370"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85370" name="Image 209808537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3091" cy="6982211"/>
                    </a:xfrm>
                    <a:prstGeom prst="rect">
                      <a:avLst/>
                    </a:prstGeom>
                  </pic:spPr>
                </pic:pic>
              </a:graphicData>
            </a:graphic>
          </wp:inline>
        </w:drawing>
      </w:r>
    </w:p>
    <w:p w14:paraId="49E61419" w14:textId="77777777" w:rsidR="00F3107C" w:rsidRDefault="00F3107C" w:rsidP="00F3107C"/>
    <w:p w14:paraId="380B3A8F" w14:textId="77777777" w:rsidR="00F3107C" w:rsidRDefault="00F3107C" w:rsidP="00F3107C"/>
    <w:p w14:paraId="1D7A647B" w14:textId="0C59E5B8" w:rsidR="00F3107C" w:rsidRDefault="00F3107C" w:rsidP="00F3107C">
      <w:pPr>
        <w:pStyle w:val="Lgende"/>
        <w:keepNext/>
        <w:jc w:val="center"/>
      </w:pPr>
      <w:r>
        <w:t xml:space="preserve">Table </w:t>
      </w:r>
      <w:r>
        <w:fldChar w:fldCharType="begin"/>
      </w:r>
      <w:r>
        <w:instrText xml:space="preserve"> SEQ Table \* ARABIC </w:instrText>
      </w:r>
      <w:r>
        <w:fldChar w:fldCharType="separate"/>
      </w:r>
      <w:r>
        <w:rPr>
          <w:noProof/>
        </w:rPr>
        <w:t>2</w:t>
      </w:r>
      <w:r>
        <w:fldChar w:fldCharType="end"/>
      </w:r>
      <w:r>
        <w:t>: Dunnett's Post-hoc contrasts square root transformed OTU relative abundance</w:t>
      </w:r>
    </w:p>
    <w:p w14:paraId="1C167FB7" w14:textId="2AC20AE5" w:rsidR="00F3107C" w:rsidRDefault="00F3107C" w:rsidP="00F3107C">
      <w:pPr>
        <w:jc w:val="center"/>
      </w:pPr>
      <w:r>
        <w:rPr>
          <w:noProof/>
        </w:rPr>
        <w:drawing>
          <wp:inline distT="0" distB="0" distL="0" distR="0" wp14:anchorId="7128BD98" wp14:editId="1F04A83C">
            <wp:extent cx="4856219" cy="5949387"/>
            <wp:effectExtent l="0" t="0" r="0" b="0"/>
            <wp:docPr id="54676824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68242" name="Image 5467682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65199" cy="5960388"/>
                    </a:xfrm>
                    <a:prstGeom prst="rect">
                      <a:avLst/>
                    </a:prstGeom>
                  </pic:spPr>
                </pic:pic>
              </a:graphicData>
            </a:graphic>
          </wp:inline>
        </w:drawing>
      </w:r>
    </w:p>
    <w:p w14:paraId="37D9CEAF" w14:textId="77777777" w:rsidR="00F3107C" w:rsidRDefault="00F3107C" w:rsidP="00F3107C"/>
    <w:p w14:paraId="1EF150E8" w14:textId="77777777" w:rsidR="00F3107C" w:rsidRDefault="00F3107C" w:rsidP="00F3107C"/>
    <w:p w14:paraId="702F8C3C" w14:textId="37F3DC1C"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3</w:t>
      </w:r>
      <w:r>
        <w:fldChar w:fldCharType="end"/>
      </w:r>
      <w:r>
        <w:t xml:space="preserve">: </w:t>
      </w:r>
      <w:r w:rsidRPr="00CE4D18">
        <w:t xml:space="preserve">Table 1: ANOVA Results of </w:t>
      </w:r>
      <w:r>
        <w:t xml:space="preserve">Delta Relativized </w:t>
      </w:r>
      <w:r w:rsidRPr="00CE4D18">
        <w:t>OTU relative abundance</w:t>
      </w:r>
    </w:p>
    <w:p w14:paraId="2B40A7A6" w14:textId="13F9A4CB" w:rsidR="00F3107C" w:rsidRDefault="00F3107C" w:rsidP="00F3107C">
      <w:pPr>
        <w:jc w:val="center"/>
      </w:pPr>
      <w:r>
        <w:rPr>
          <w:noProof/>
        </w:rPr>
        <w:drawing>
          <wp:inline distT="0" distB="0" distL="0" distR="0" wp14:anchorId="6B33C940" wp14:editId="5117F451">
            <wp:extent cx="4085863" cy="7649927"/>
            <wp:effectExtent l="0" t="0" r="3810" b="0"/>
            <wp:docPr id="123158217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82172" name="Image 123158217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12593" cy="7699973"/>
                    </a:xfrm>
                    <a:prstGeom prst="rect">
                      <a:avLst/>
                    </a:prstGeom>
                  </pic:spPr>
                </pic:pic>
              </a:graphicData>
            </a:graphic>
          </wp:inline>
        </w:drawing>
      </w:r>
    </w:p>
    <w:p w14:paraId="0B0B091E" w14:textId="0B9B73D5"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4</w:t>
      </w:r>
      <w:r>
        <w:fldChar w:fldCharType="end"/>
      </w:r>
      <w:r>
        <w:t xml:space="preserve">: </w:t>
      </w:r>
      <w:r w:rsidRPr="00C85019">
        <w:t xml:space="preserve">Dunnett's Post-hoc contrasts </w:t>
      </w:r>
      <w:r>
        <w:t xml:space="preserve">delta relativized </w:t>
      </w:r>
      <w:r w:rsidRPr="00C85019">
        <w:t xml:space="preserve">OTU </w:t>
      </w:r>
      <w:r>
        <w:t xml:space="preserve"> </w:t>
      </w:r>
      <w:r w:rsidRPr="00C85019">
        <w:t>relative abundance</w:t>
      </w:r>
    </w:p>
    <w:p w14:paraId="03059359" w14:textId="45F687F6" w:rsidR="00F3107C" w:rsidRDefault="00F3107C" w:rsidP="00F3107C">
      <w:pPr>
        <w:jc w:val="center"/>
      </w:pPr>
      <w:r>
        <w:rPr>
          <w:noProof/>
        </w:rPr>
        <w:drawing>
          <wp:inline distT="0" distB="0" distL="0" distR="0" wp14:anchorId="1DCAC43B" wp14:editId="60CDC553">
            <wp:extent cx="5685516" cy="7882359"/>
            <wp:effectExtent l="0" t="0" r="4445" b="4445"/>
            <wp:docPr id="63831582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15822" name="Image 6383158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89881" cy="7888411"/>
                    </a:xfrm>
                    <a:prstGeom prst="rect">
                      <a:avLst/>
                    </a:prstGeom>
                  </pic:spPr>
                </pic:pic>
              </a:graphicData>
            </a:graphic>
          </wp:inline>
        </w:drawing>
      </w:r>
    </w:p>
    <w:p w14:paraId="70829A6A" w14:textId="77777777" w:rsidR="00F3107C" w:rsidRDefault="00F3107C" w:rsidP="00F3107C"/>
    <w:p w14:paraId="3FD2DFF4" w14:textId="743D1B62" w:rsidR="00F3107C" w:rsidRDefault="00F3107C" w:rsidP="00F3107C">
      <w:pPr>
        <w:pStyle w:val="Lgende"/>
        <w:keepNext/>
      </w:pPr>
      <w:r>
        <w:t xml:space="preserve">Table </w:t>
      </w:r>
      <w:r>
        <w:fldChar w:fldCharType="begin"/>
      </w:r>
      <w:r>
        <w:instrText xml:space="preserve"> SEQ Table \* ARABIC </w:instrText>
      </w:r>
      <w:r>
        <w:fldChar w:fldCharType="separate"/>
      </w:r>
      <w:r>
        <w:rPr>
          <w:noProof/>
        </w:rPr>
        <w:t>5</w:t>
      </w:r>
      <w:r>
        <w:fldChar w:fldCharType="end"/>
      </w:r>
      <w:r>
        <w:t xml:space="preserve">: </w:t>
      </w:r>
      <w:r w:rsidRPr="00311455">
        <w:t xml:space="preserve"> ANOVA Results of Square root-transformed </w:t>
      </w:r>
      <w:r>
        <w:t xml:space="preserve">Genus </w:t>
      </w:r>
      <w:r w:rsidRPr="00311455">
        <w:t xml:space="preserve"> relative abundance</w:t>
      </w:r>
    </w:p>
    <w:p w14:paraId="62F403F4" w14:textId="5DDB144F" w:rsidR="00F3107C" w:rsidRDefault="00F3107C" w:rsidP="00F3107C">
      <w:r>
        <w:rPr>
          <w:noProof/>
        </w:rPr>
        <w:drawing>
          <wp:inline distT="0" distB="0" distL="0" distR="0" wp14:anchorId="38A6F1C4" wp14:editId="5F231AF3">
            <wp:extent cx="5943600" cy="7607300"/>
            <wp:effectExtent l="0" t="0" r="0" b="0"/>
            <wp:docPr id="65548634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86348" name="Image 6554863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7607300"/>
                    </a:xfrm>
                    <a:prstGeom prst="rect">
                      <a:avLst/>
                    </a:prstGeom>
                  </pic:spPr>
                </pic:pic>
              </a:graphicData>
            </a:graphic>
          </wp:inline>
        </w:drawing>
      </w:r>
    </w:p>
    <w:p w14:paraId="1BB29AD3" w14:textId="24B2ED6A" w:rsidR="00F3107C" w:rsidRDefault="00F3107C" w:rsidP="00F3107C">
      <w:pPr>
        <w:pStyle w:val="Lgende"/>
        <w:keepNext/>
      </w:pPr>
      <w:r>
        <w:lastRenderedPageBreak/>
        <w:t xml:space="preserve">Table </w:t>
      </w:r>
      <w:r>
        <w:fldChar w:fldCharType="begin"/>
      </w:r>
      <w:r>
        <w:instrText xml:space="preserve"> SEQ Table \* ARABIC </w:instrText>
      </w:r>
      <w:r>
        <w:fldChar w:fldCharType="separate"/>
      </w:r>
      <w:r>
        <w:rPr>
          <w:noProof/>
        </w:rPr>
        <w:t>6</w:t>
      </w:r>
      <w:r>
        <w:fldChar w:fldCharType="end"/>
      </w:r>
      <w:r>
        <w:t xml:space="preserve">: </w:t>
      </w:r>
      <w:r w:rsidRPr="005D33FF">
        <w:t xml:space="preserve">Dunnett's Post-hoc contrasts </w:t>
      </w:r>
      <w:r>
        <w:t>Square-root transformed Genus</w:t>
      </w:r>
      <w:r w:rsidRPr="005D33FF">
        <w:t xml:space="preserve"> relative abundance</w:t>
      </w:r>
    </w:p>
    <w:p w14:paraId="3486053A" w14:textId="44B6A1A9" w:rsidR="00F3107C" w:rsidRDefault="00F3107C" w:rsidP="00F3107C">
      <w:r>
        <w:rPr>
          <w:noProof/>
        </w:rPr>
        <w:drawing>
          <wp:inline distT="0" distB="0" distL="0" distR="0" wp14:anchorId="2D64A956" wp14:editId="083B1F0E">
            <wp:extent cx="5752718" cy="4883664"/>
            <wp:effectExtent l="0" t="0" r="635" b="6350"/>
            <wp:docPr id="40998827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279" name="Image 4099882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7257" cy="4887517"/>
                    </a:xfrm>
                    <a:prstGeom prst="rect">
                      <a:avLst/>
                    </a:prstGeom>
                  </pic:spPr>
                </pic:pic>
              </a:graphicData>
            </a:graphic>
          </wp:inline>
        </w:drawing>
      </w:r>
    </w:p>
    <w:p w14:paraId="5C8E7BAC" w14:textId="77777777" w:rsidR="00F3107C" w:rsidRDefault="00F3107C" w:rsidP="00F3107C"/>
    <w:p w14:paraId="5FD53964" w14:textId="74CD9178" w:rsidR="00F3107C" w:rsidRDefault="00F3107C" w:rsidP="00F3107C">
      <w:pPr>
        <w:pStyle w:val="Lgende"/>
        <w:keepNext/>
        <w:jc w:val="center"/>
      </w:pPr>
      <w:r>
        <w:lastRenderedPageBreak/>
        <w:t xml:space="preserve">Table </w:t>
      </w:r>
      <w:r>
        <w:fldChar w:fldCharType="begin"/>
      </w:r>
      <w:r>
        <w:instrText xml:space="preserve"> SEQ Table \* ARABIC </w:instrText>
      </w:r>
      <w:r>
        <w:fldChar w:fldCharType="separate"/>
      </w:r>
      <w:r>
        <w:rPr>
          <w:noProof/>
        </w:rPr>
        <w:t>7</w:t>
      </w:r>
      <w:r>
        <w:fldChar w:fldCharType="end"/>
      </w:r>
      <w:r>
        <w:t xml:space="preserve">: </w:t>
      </w:r>
      <w:r w:rsidRPr="0018065A">
        <w:t xml:space="preserve">ANOVA Results </w:t>
      </w:r>
      <w:r>
        <w:t>of Delta Relativized</w:t>
      </w:r>
      <w:r w:rsidRPr="0018065A">
        <w:t xml:space="preserve"> Genus  </w:t>
      </w:r>
      <w:r>
        <w:t>R</w:t>
      </w:r>
      <w:r w:rsidRPr="0018065A">
        <w:t xml:space="preserve">elative </w:t>
      </w:r>
      <w:r>
        <w:t>A</w:t>
      </w:r>
      <w:r w:rsidRPr="0018065A">
        <w:t>bundance</w:t>
      </w:r>
    </w:p>
    <w:p w14:paraId="58FE8D40" w14:textId="4738F66E" w:rsidR="00F3107C" w:rsidRDefault="00F3107C" w:rsidP="00F3107C">
      <w:pPr>
        <w:jc w:val="center"/>
      </w:pPr>
      <w:r>
        <w:rPr>
          <w:noProof/>
        </w:rPr>
        <w:drawing>
          <wp:inline distT="0" distB="0" distL="0" distR="0" wp14:anchorId="6F52BFA3" wp14:editId="7C168D64">
            <wp:extent cx="4465674" cy="6942795"/>
            <wp:effectExtent l="0" t="0" r="5080" b="4445"/>
            <wp:docPr id="130380691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06918" name="Image 130380691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2140" cy="6952847"/>
                    </a:xfrm>
                    <a:prstGeom prst="rect">
                      <a:avLst/>
                    </a:prstGeom>
                  </pic:spPr>
                </pic:pic>
              </a:graphicData>
            </a:graphic>
          </wp:inline>
        </w:drawing>
      </w:r>
    </w:p>
    <w:p w14:paraId="400185AD" w14:textId="77777777" w:rsidR="00F3107C" w:rsidRDefault="00F3107C" w:rsidP="00F3107C">
      <w:pPr>
        <w:jc w:val="center"/>
      </w:pPr>
    </w:p>
    <w:p w14:paraId="2C7911B2" w14:textId="0087A26F" w:rsidR="00F3107C" w:rsidRDefault="00F3107C" w:rsidP="00F3107C">
      <w:pPr>
        <w:pStyle w:val="Lgende"/>
        <w:keepNext/>
        <w:jc w:val="center"/>
      </w:pPr>
      <w:r>
        <w:lastRenderedPageBreak/>
        <w:t xml:space="preserve">Table </w:t>
      </w:r>
      <w:r>
        <w:fldChar w:fldCharType="begin"/>
      </w:r>
      <w:r>
        <w:instrText xml:space="preserve"> SEQ Table \* ARABIC </w:instrText>
      </w:r>
      <w:r>
        <w:fldChar w:fldCharType="separate"/>
      </w:r>
      <w:r>
        <w:rPr>
          <w:noProof/>
        </w:rPr>
        <w:t>8</w:t>
      </w:r>
      <w:r>
        <w:fldChar w:fldCharType="end"/>
      </w:r>
      <w:r>
        <w:t xml:space="preserve">: </w:t>
      </w:r>
      <w:r w:rsidRPr="00806DE2">
        <w:t xml:space="preserve">Dunnett's Post-hoc contrasts delta relativized </w:t>
      </w:r>
      <w:r>
        <w:t>Genus</w:t>
      </w:r>
      <w:r w:rsidRPr="00806DE2">
        <w:t xml:space="preserve"> relative abundance</w:t>
      </w:r>
    </w:p>
    <w:p w14:paraId="52A22807" w14:textId="0BFD929C" w:rsidR="00F3107C" w:rsidRDefault="00F3107C" w:rsidP="00F3107C">
      <w:pPr>
        <w:jc w:val="center"/>
      </w:pPr>
      <w:r>
        <w:rPr>
          <w:noProof/>
        </w:rPr>
        <w:drawing>
          <wp:inline distT="0" distB="0" distL="0" distR="0" wp14:anchorId="19EE21AC" wp14:editId="5BCDAA99">
            <wp:extent cx="5943600" cy="5473700"/>
            <wp:effectExtent l="0" t="0" r="0" b="0"/>
            <wp:docPr id="11432803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0371" name="Image 11432803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473700"/>
                    </a:xfrm>
                    <a:prstGeom prst="rect">
                      <a:avLst/>
                    </a:prstGeom>
                  </pic:spPr>
                </pic:pic>
              </a:graphicData>
            </a:graphic>
          </wp:inline>
        </w:drawing>
      </w:r>
    </w:p>
    <w:p w14:paraId="6EC6C70C" w14:textId="77777777" w:rsidR="00F3107C" w:rsidRPr="00F3107C" w:rsidRDefault="00F3107C" w:rsidP="00F3107C">
      <w:pPr>
        <w:jc w:val="center"/>
      </w:pPr>
    </w:p>
    <w:sectPr w:rsidR="00F3107C" w:rsidRPr="00F3107C" w:rsidSect="001E71FC">
      <w:footerReference w:type="default" r:id="rId3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Keanu Rochette" w:date="2026-06-19T16:05:00Z" w:initials="KR">
    <w:p w14:paraId="684D8B76" w14:textId="77777777" w:rsidR="007B68A6" w:rsidRDefault="007B68A6" w:rsidP="007B68A6">
      <w:r>
        <w:rPr>
          <w:rStyle w:val="Marquedecommentaire"/>
        </w:rPr>
        <w:annotationRef/>
      </w:r>
      <w:r>
        <w:rPr>
          <w:sz w:val="20"/>
          <w:szCs w:val="20"/>
        </w:rPr>
        <w:t>Edit when results are solid</w:t>
      </w:r>
    </w:p>
  </w:comment>
  <w:comment w:id="16" w:author="Keanu Rochette" w:date="2026-06-19T16:07:00Z" w:initials="KR">
    <w:p w14:paraId="4010A0BF" w14:textId="77777777" w:rsidR="007B68A6" w:rsidRDefault="007B68A6" w:rsidP="007B68A6">
      <w:r>
        <w:rPr>
          <w:rStyle w:val="Marquedecommentaire"/>
        </w:rPr>
        <w:annotationRef/>
      </w:r>
      <w:r>
        <w:rPr>
          <w:sz w:val="20"/>
          <w:szCs w:val="20"/>
        </w:rPr>
        <w:t>add citation</w:t>
      </w:r>
    </w:p>
  </w:comment>
  <w:comment w:id="21" w:author="Keanu Rochette" w:date="2026-06-19T16:20:00Z" w:initials="KR">
    <w:p w14:paraId="5149FD35" w14:textId="77777777" w:rsidR="005F3C48" w:rsidRDefault="005F3C48" w:rsidP="005F3C48">
      <w:r>
        <w:rPr>
          <w:rStyle w:val="Marquedecommentaire"/>
        </w:rPr>
        <w:annotationRef/>
      </w:r>
      <w:r>
        <w:rPr>
          <w:sz w:val="20"/>
          <w:szCs w:val="20"/>
        </w:rPr>
        <w:t>+ comstock 2025</w:t>
      </w:r>
    </w:p>
  </w:comment>
  <w:comment w:id="30"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3"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4" w:author="Keanu Rochette" w:date="2026-07-05T11:32:00Z" w:initials="KR">
    <w:p w14:paraId="59596340" w14:textId="77777777" w:rsidR="005125EE" w:rsidRDefault="005125EE" w:rsidP="005125EE">
      <w:r>
        <w:rPr>
          <w:rStyle w:val="Marquedecommentaire"/>
        </w:rPr>
        <w:annotationRef/>
      </w:r>
      <w:r>
        <w:rPr>
          <w:sz w:val="20"/>
          <w:szCs w:val="20"/>
        </w:rPr>
        <w:t>Incorporate in 2.3</w:t>
      </w:r>
    </w:p>
  </w:comment>
  <w:comment w:id="4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5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7" w:author="Keanu Rochette" w:date="2026-07-05T11:37:00Z" w:initials="KR">
    <w:p w14:paraId="061F47FC" w14:textId="77777777" w:rsidR="005125EE" w:rsidRDefault="005125EE" w:rsidP="005125EE">
      <w:r>
        <w:rPr>
          <w:rStyle w:val="Marquedecommentaire"/>
        </w:rPr>
        <w:annotationRef/>
      </w:r>
      <w:r>
        <w:rPr>
          <w:sz w:val="20"/>
          <w:szCs w:val="20"/>
        </w:rPr>
        <w:t>math symboles</w:t>
      </w:r>
    </w:p>
  </w:comment>
  <w:comment w:id="58" w:author="Keanu Rochette" w:date="2026-07-05T11:38:00Z" w:initials="KR">
    <w:p w14:paraId="4494EB7A" w14:textId="77777777" w:rsidR="005125EE" w:rsidRDefault="005125EE" w:rsidP="005125EE">
      <w:r>
        <w:rPr>
          <w:rStyle w:val="Marquedecommentaire"/>
        </w:rPr>
        <w:annotationRef/>
      </w:r>
      <w:r>
        <w:rPr>
          <w:sz w:val="20"/>
          <w:szCs w:val="20"/>
        </w:rPr>
        <w:t>Craig : I can't remember if this was added as a fixed effect or a random effect...I assume from how this was written it was added as a fixed effect. It would be good to add a statement somewhere in the results indicating if the fixed effect of flow rate was significant in any of the models.</w:t>
      </w:r>
    </w:p>
  </w:comment>
  <w:comment w:id="59" w:author="Keanu Rochette" w:date="2026-07-05T11:38:00Z" w:initials="KR">
    <w:p w14:paraId="120E98C5" w14:textId="77777777" w:rsidR="005125EE" w:rsidRDefault="005125EE" w:rsidP="005125EE">
      <w:r>
        <w:rPr>
          <w:rStyle w:val="Marquedecommentaire"/>
        </w:rPr>
        <w:annotationRef/>
      </w:r>
      <w:r>
        <w:rPr>
          <w:sz w:val="20"/>
          <w:szCs w:val="20"/>
        </w:rPr>
        <w:t xml:space="preserve">Vs Cohen Omega ? </w:t>
      </w:r>
    </w:p>
    <w:p w14:paraId="55078067" w14:textId="77777777" w:rsidR="005125EE" w:rsidRDefault="005125EE" w:rsidP="005125EE"/>
    <w:p w14:paraId="1E3A8900" w14:textId="77777777" w:rsidR="005125EE" w:rsidRDefault="005125EE" w:rsidP="005125EE">
      <w:r>
        <w:rPr>
          <w:sz w:val="20"/>
          <w:szCs w:val="20"/>
        </w:rPr>
        <w:t>Double check this. Because you are contrasting with control this might be right, but Usually effect sizes are done with Cohen's omega...Cohen's D is a log ratio effect size</w:t>
      </w:r>
    </w:p>
  </w:comment>
  <w:comment w:id="60" w:author="Keanu Rochette" w:date="2026-06-19T16:43:00Z" w:initials="KR">
    <w:p w14:paraId="1C2D9ADB" w14:textId="77777777" w:rsidR="004A3DE3" w:rsidRDefault="004A3DE3" w:rsidP="004A3DE3">
      <w:r>
        <w:rPr>
          <w:rStyle w:val="Marquedecommentaire"/>
        </w:rPr>
        <w:annotationRef/>
      </w:r>
      <w:r>
        <w:rPr>
          <w:sz w:val="20"/>
          <w:szCs w:val="20"/>
        </w:rPr>
        <w:t xml:space="preserve">edit this </w:t>
      </w:r>
    </w:p>
  </w:comment>
  <w:comment w:id="61"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64"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7" w:author="Keanu Rochette" w:date="2026-07-05T11:40:00Z" w:initials="KR">
    <w:p w14:paraId="41DF0D54" w14:textId="77777777" w:rsidR="005125EE" w:rsidRDefault="005125EE"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68" w:author="Keanu Rochette" w:date="2026-07-05T11:40:00Z" w:initials="KR">
    <w:p w14:paraId="755FDBB1" w14:textId="77777777" w:rsidR="005125EE" w:rsidRDefault="005125EE" w:rsidP="005125EE">
      <w:r>
        <w:rPr>
          <w:rStyle w:val="Marquedecommentaire"/>
        </w:rPr>
        <w:annotationRef/>
      </w:r>
      <w:r>
        <w:rPr>
          <w:sz w:val="20"/>
          <w:szCs w:val="20"/>
        </w:rPr>
        <w:t>This seems like an incorrect interpretation, especially because there is nothing in the Controls to take up nutrients. I think what you are doing is running Dunnett's somehow on the interaction test and reporting significantly lower nutrient concentrations at 0600 in the Controls...I am not convinced that is appropriate either. Lets discuss this explicitly with Nyssa to all get on the same page.</w:t>
      </w:r>
    </w:p>
  </w:comment>
  <w:comment w:id="82" w:author="Keanu Rochette" w:date="2026-07-08T00:15:00Z" w:initials="KR">
    <w:p w14:paraId="6F6C9385" w14:textId="77777777" w:rsidR="00453D29" w:rsidRDefault="00453D29" w:rsidP="00453D29">
      <w:r>
        <w:rPr>
          <w:rStyle w:val="Marquedecommentaire"/>
        </w:rPr>
        <w:annotationRef/>
      </w:r>
      <w:r>
        <w:rPr>
          <w:color w:val="262626"/>
          <w:sz w:val="20"/>
          <w:szCs w:val="20"/>
        </w:rPr>
        <w:t xml:space="preserve">"We found a significant effect of treatment on GenusX, with the Control, Coral and CCA treatments not differing (mean x.x%, p = 0.xxx) but the Algae treatment depleted to a mean of y.y% (p = 0.xxx). This change was primarily driven by one OTU (OTUxxxxx; Table S4), and this effect was robust whether we tested relative abundances or the differential relative abundance from the inflow mean (Table S5).”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4D8B76" w15:done="0"/>
  <w15:commentEx w15:paraId="4010A0BF" w15:done="0"/>
  <w15:commentEx w15:paraId="5149FD35" w15:done="0"/>
  <w15:commentEx w15:paraId="70FB810B" w15:done="0"/>
  <w15:commentEx w15:paraId="2F1AA805" w15:done="0"/>
  <w15:commentEx w15:paraId="59596340" w15:done="0"/>
  <w15:commentEx w15:paraId="55BB3387" w15:done="0"/>
  <w15:commentEx w15:paraId="134F60D3" w15:done="0"/>
  <w15:commentEx w15:paraId="061F47FC" w15:done="0"/>
  <w15:commentEx w15:paraId="4494EB7A" w15:done="0"/>
  <w15:commentEx w15:paraId="1E3A8900" w15:done="0"/>
  <w15:commentEx w15:paraId="1C2D9ADB" w15:done="0"/>
  <w15:commentEx w15:paraId="23D04262" w15:done="0"/>
  <w15:commentEx w15:paraId="544D19E3" w15:done="0"/>
  <w15:commentEx w15:paraId="41DF0D54" w15:done="0"/>
  <w15:commentEx w15:paraId="755FDBB1" w15:done="0"/>
  <w15:commentEx w15:paraId="6F6C93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5E18F" w16cex:dateUtc="2026-06-20T02:05:00Z"/>
  <w16cex:commentExtensible w16cex:durableId="1995C623" w16cex:dateUtc="2026-06-20T02:07:00Z"/>
  <w16cex:commentExtensible w16cex:durableId="740BF3BD" w16cex:dateUtc="2026-06-20T02:20:00Z"/>
  <w16cex:commentExtensible w16cex:durableId="106BB4D2" w16cex:dateUtc="2026-06-20T02:23:00Z"/>
  <w16cex:commentExtensible w16cex:durableId="056693FD" w16cex:dateUtc="2026-06-20T02:27:00Z"/>
  <w16cex:commentExtensible w16cex:durableId="2243796E" w16cex:dateUtc="2026-07-05T21:32:00Z"/>
  <w16cex:commentExtensible w16cex:durableId="4DF953B1" w16cex:dateUtc="2026-07-05T21:34:00Z"/>
  <w16cex:commentExtensible w16cex:durableId="06E21134" w16cex:dateUtc="2026-07-05T21:35:00Z"/>
  <w16cex:commentExtensible w16cex:durableId="16E43522" w16cex:dateUtc="2026-07-05T21:37:00Z"/>
  <w16cex:commentExtensible w16cex:durableId="5D162923" w16cex:dateUtc="2026-07-05T21:38:00Z"/>
  <w16cex:commentExtensible w16cex:durableId="2B46668A" w16cex:dateUtc="2026-07-05T21:38:00Z"/>
  <w16cex:commentExtensible w16cex:durableId="4D45EA71" w16cex:dateUtc="2026-06-20T02:43:00Z"/>
  <w16cex:commentExtensible w16cex:durableId="1AE8076D" w16cex:dateUtc="2026-07-05T21:39:00Z"/>
  <w16cex:commentExtensible w16cex:durableId="0DEA5B8C" w16cex:dateUtc="2026-06-20T02:44:00Z"/>
  <w16cex:commentExtensible w16cex:durableId="3C92579F" w16cex:dateUtc="2026-07-05T21:40:00Z"/>
  <w16cex:commentExtensible w16cex:durableId="3D82DF3F" w16cex:dateUtc="2026-07-05T21:40:00Z"/>
  <w16cex:commentExtensible w16cex:durableId="76CD11F4" w16cex:dateUtc="2026-07-08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4D8B76" w16cid:durableId="7DE5E18F"/>
  <w16cid:commentId w16cid:paraId="4010A0BF" w16cid:durableId="1995C623"/>
  <w16cid:commentId w16cid:paraId="5149FD35" w16cid:durableId="740BF3BD"/>
  <w16cid:commentId w16cid:paraId="70FB810B" w16cid:durableId="106BB4D2"/>
  <w16cid:commentId w16cid:paraId="2F1AA805" w16cid:durableId="056693FD"/>
  <w16cid:commentId w16cid:paraId="59596340" w16cid:durableId="2243796E"/>
  <w16cid:commentId w16cid:paraId="55BB3387" w16cid:durableId="4DF953B1"/>
  <w16cid:commentId w16cid:paraId="134F60D3" w16cid:durableId="06E21134"/>
  <w16cid:commentId w16cid:paraId="061F47FC" w16cid:durableId="16E43522"/>
  <w16cid:commentId w16cid:paraId="4494EB7A" w16cid:durableId="5D162923"/>
  <w16cid:commentId w16cid:paraId="1E3A8900" w16cid:durableId="2B46668A"/>
  <w16cid:commentId w16cid:paraId="1C2D9ADB" w16cid:durableId="4D45EA71"/>
  <w16cid:commentId w16cid:paraId="23D04262" w16cid:durableId="1AE8076D"/>
  <w16cid:commentId w16cid:paraId="544D19E3" w16cid:durableId="0DEA5B8C"/>
  <w16cid:commentId w16cid:paraId="41DF0D54" w16cid:durableId="3C92579F"/>
  <w16cid:commentId w16cid:paraId="755FDBB1" w16cid:durableId="3D82DF3F"/>
  <w16cid:commentId w16cid:paraId="6F6C9385" w16cid:durableId="76CD11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16288" w14:textId="77777777" w:rsidR="004811E7" w:rsidRDefault="004811E7" w:rsidP="0037287D">
      <w:pPr>
        <w:spacing w:after="0" w:line="240" w:lineRule="auto"/>
      </w:pPr>
      <w:r>
        <w:separator/>
      </w:r>
    </w:p>
  </w:endnote>
  <w:endnote w:type="continuationSeparator" w:id="0">
    <w:p w14:paraId="48F92405" w14:textId="77777777" w:rsidR="004811E7" w:rsidRDefault="004811E7"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mic Sans MS">
    <w:panose1 w:val="030F0702030302020204"/>
    <w:charset w:val="00"/>
    <w:family w:val="script"/>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AD25E" w14:textId="77777777" w:rsidR="004811E7" w:rsidRDefault="004811E7" w:rsidP="0037287D">
      <w:pPr>
        <w:spacing w:after="0" w:line="240" w:lineRule="auto"/>
      </w:pPr>
      <w:r>
        <w:separator/>
      </w:r>
    </w:p>
  </w:footnote>
  <w:footnote w:type="continuationSeparator" w:id="0">
    <w:p w14:paraId="1152D012" w14:textId="77777777" w:rsidR="004811E7" w:rsidRDefault="004811E7"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507B9"/>
    <w:rsid w:val="00061013"/>
    <w:rsid w:val="000B6B00"/>
    <w:rsid w:val="0013065B"/>
    <w:rsid w:val="001E71FC"/>
    <w:rsid w:val="00264C75"/>
    <w:rsid w:val="002C6AEE"/>
    <w:rsid w:val="0037287D"/>
    <w:rsid w:val="003C1715"/>
    <w:rsid w:val="0043448B"/>
    <w:rsid w:val="00446AAF"/>
    <w:rsid w:val="00453D29"/>
    <w:rsid w:val="004811E7"/>
    <w:rsid w:val="004A2DE1"/>
    <w:rsid w:val="004A3DE3"/>
    <w:rsid w:val="004D0DFC"/>
    <w:rsid w:val="005125EE"/>
    <w:rsid w:val="005F3C48"/>
    <w:rsid w:val="006013D8"/>
    <w:rsid w:val="007170D8"/>
    <w:rsid w:val="00794641"/>
    <w:rsid w:val="007B68A6"/>
    <w:rsid w:val="008523E2"/>
    <w:rsid w:val="00934F70"/>
    <w:rsid w:val="009C66B5"/>
    <w:rsid w:val="009D2535"/>
    <w:rsid w:val="009F2600"/>
    <w:rsid w:val="00A106A1"/>
    <w:rsid w:val="00A50186"/>
    <w:rsid w:val="00A84398"/>
    <w:rsid w:val="00AE0DC9"/>
    <w:rsid w:val="00B17216"/>
    <w:rsid w:val="00B250A0"/>
    <w:rsid w:val="00B60634"/>
    <w:rsid w:val="00BC483F"/>
    <w:rsid w:val="00D34D21"/>
    <w:rsid w:val="00D36B2C"/>
    <w:rsid w:val="00D60AC0"/>
    <w:rsid w:val="00DA1A5E"/>
    <w:rsid w:val="00E430AF"/>
    <w:rsid w:val="00E51D13"/>
    <w:rsid w:val="00E70975"/>
    <w:rsid w:val="00F0557B"/>
    <w:rsid w:val="00F3107C"/>
    <w:rsid w:val="00F554F4"/>
    <w:rsid w:val="00FA3C7C"/>
    <w:rsid w:val="00FB25FB"/>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95AE73-1EE1-994F-AE3B-B31C09A75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53</Pages>
  <Words>36740</Words>
  <Characters>200238</Characters>
  <Application>Microsoft Office Word</Application>
  <DocSecurity>0</DocSecurity>
  <Lines>3033</Lines>
  <Paragraphs>822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28</cp:revision>
  <dcterms:created xsi:type="dcterms:W3CDTF">2026-06-19T21:44:00Z</dcterms:created>
  <dcterms:modified xsi:type="dcterms:W3CDTF">2026-07-10T01:18:00Z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id="EUWFMQeQ"/&gt;&lt;style id="http://www.zotero.org/styles/apa" locale="en-US" hasBibliography="1" bibliographyStyleHasBeenSet="1"/&gt;&lt;prefs&gt;&lt;pref name="fieldType" value="Field"/&gt;&lt;/prefs&gt;&lt;/data&gt;</vt:lpwstr>
  </property>
</Properties>
</file>