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6218A">
          <w:rPr>
            <w:webHidden/>
          </w:rPr>
          <w:t>2</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46218A">
          <w:rPr>
            <w:webHidden/>
          </w:rPr>
          <w:t>4</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46218A">
          <w:rPr>
            <w:noProof/>
            <w:webHidden/>
          </w:rPr>
          <w:t>4</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46218A">
          <w:rPr>
            <w:webHidden/>
          </w:rPr>
          <w:t>11</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46218A">
          <w:rPr>
            <w:noProof/>
            <w:webHidden/>
          </w:rPr>
          <w:t>11</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46218A">
          <w:rPr>
            <w:noProof/>
            <w:webHidden/>
          </w:rPr>
          <w:t>13</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46218A">
          <w:rPr>
            <w:webHidden/>
          </w:rPr>
          <w:t>19</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A715E9"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46218A">
          <w:rPr>
            <w:webHidden/>
          </w:rPr>
          <w:t>22</w:t>
        </w:r>
        <w:r w:rsidR="004D36C0">
          <w:rPr>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A715E9"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3" w:name="_Toc476150026"/>
      <w:r>
        <w:t>Étude</w:t>
      </w:r>
      <w:r w:rsidR="0099356C">
        <w:t xml:space="preserve"> de faisabilité</w:t>
      </w:r>
      <w:bookmarkEnd w:id="13"/>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4" w:name="_Toc476150027"/>
      <w:r>
        <w:lastRenderedPageBreak/>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A715E9"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6" w:name="_Toc71691012"/>
      <w:bookmarkStart w:id="17" w:name="_Toc476150029"/>
      <w:r w:rsidRPr="00791020">
        <w:rPr>
          <w:i/>
          <w:iCs/>
        </w:rPr>
        <w:lastRenderedPageBreak/>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7" w:name="_Toc476150037"/>
      <w:r>
        <w:lastRenderedPageBreak/>
        <w:t>Maquette graphique</w:t>
      </w:r>
      <w:bookmarkEnd w:id="27"/>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8" w:name="_Toc476150038"/>
      <w:r>
        <w:lastRenderedPageBreak/>
        <w:t>Conception de la Base de données</w:t>
      </w:r>
      <w:bookmarkEnd w:id="28"/>
    </w:p>
    <w:p w:rsidR="00AF6BB3" w:rsidRPr="00AF6BB3" w:rsidRDefault="00AF6BB3" w:rsidP="00AF6BB3"/>
    <w:p w:rsidR="001E3AB6" w:rsidRDefault="001E3AB6" w:rsidP="001E3AB6">
      <w:pPr>
        <w:pStyle w:val="En-tte"/>
        <w:tabs>
          <w:tab w:val="clear" w:pos="4536"/>
          <w:tab w:val="clear" w:pos="9072"/>
        </w:tabs>
        <w:ind w:left="576"/>
        <w:rPr>
          <w:iCs/>
          <w:szCs w:val="14"/>
        </w:rPr>
      </w:pPr>
      <w:bookmarkStart w:id="29"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29"/>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0" w:name="_Toc476150040"/>
      <w:r>
        <w:lastRenderedPageBreak/>
        <w:t>Plugin</w:t>
      </w:r>
      <w:r w:rsidR="0089431C">
        <w:t>s et librairies</w:t>
      </w:r>
      <w:bookmarkEnd w:id="30"/>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1" w:name="_Toc476150041"/>
      <w:r w:rsidRPr="005F24C0">
        <w:t>Choix de la formule d’hébergement</w:t>
      </w:r>
      <w:bookmarkEnd w:id="31"/>
    </w:p>
    <w:p w:rsidR="004278A2" w:rsidRPr="005F24C0" w:rsidRDefault="004278A2" w:rsidP="004278A2">
      <w:pPr>
        <w:rPr>
          <w:rFonts w:cs="Arial"/>
        </w:rPr>
      </w:pPr>
    </w:p>
    <w:p w:rsidR="007B406E" w:rsidRDefault="00C90D14" w:rsidP="00C2268D">
      <w:pPr>
        <w:ind w:left="709"/>
      </w:pPr>
      <w:bookmarkStart w:id="32"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3" w:name="_Toc476150042"/>
      <w:r w:rsidR="00AA0785" w:rsidRPr="0049659A">
        <w:lastRenderedPageBreak/>
        <w:t>R</w:t>
      </w:r>
      <w:bookmarkEnd w:id="32"/>
      <w:r w:rsidR="00684B3D">
        <w:t>éalisation</w:t>
      </w:r>
      <w:bookmarkEnd w:id="33"/>
    </w:p>
    <w:p w:rsidR="00AA0785" w:rsidRPr="00791020" w:rsidRDefault="00AA0785" w:rsidP="00AA0785">
      <w:pPr>
        <w:pStyle w:val="Titre2"/>
        <w:rPr>
          <w:i/>
          <w:iCs/>
        </w:rPr>
      </w:pPr>
      <w:bookmarkStart w:id="34" w:name="_Toc25553317"/>
      <w:bookmarkStart w:id="35" w:name="_Toc71691022"/>
      <w:bookmarkStart w:id="36" w:name="_Toc476150043"/>
      <w:r w:rsidRPr="00791020">
        <w:rPr>
          <w:i/>
          <w:iCs/>
        </w:rPr>
        <w:t>Dossier de réalisation</w:t>
      </w:r>
      <w:bookmarkStart w:id="37" w:name="_Toc25553318"/>
      <w:bookmarkEnd w:id="34"/>
      <w:bookmarkEnd w:id="35"/>
      <w:bookmarkEnd w:id="36"/>
    </w:p>
    <w:bookmarkEnd w:id="37"/>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bookmarkStart w:id="38" w:name="_GoBack"/>
      <w:bookmarkEnd w:id="38"/>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A715E9" w:rsidP="0044762E">
      <w:pPr>
        <w:ind w:left="786"/>
      </w:pPr>
      <w:hyperlink r:id="rId28" w:history="1">
        <w:r w:rsidR="0044762E" w:rsidRPr="00297C98">
          <w:rPr>
            <w:rStyle w:val="Lienhypertexte"/>
          </w:rPr>
          <w:t>https://www.php.net/</w:t>
        </w:r>
      </w:hyperlink>
    </w:p>
    <w:p w:rsidR="0044762E" w:rsidRDefault="0044762E" w:rsidP="0044762E">
      <w:pPr>
        <w:ind w:left="786"/>
      </w:pPr>
    </w:p>
    <w:p w:rsidR="0044762E" w:rsidRDefault="00A715E9" w:rsidP="0044762E">
      <w:pPr>
        <w:ind w:left="786"/>
      </w:pPr>
      <w:hyperlink r:id="rId29" w:history="1">
        <w:r w:rsidR="0044762E" w:rsidRPr="00B76FE9">
          <w:rPr>
            <w:rStyle w:val="Lienhypertexte"/>
          </w:rPr>
          <w:t>https://www.w3schools.com/</w:t>
        </w:r>
      </w:hyperlink>
    </w:p>
    <w:p w:rsidR="0044762E" w:rsidRDefault="0044762E" w:rsidP="0044762E">
      <w:pPr>
        <w:ind w:left="786"/>
      </w:pPr>
    </w:p>
    <w:p w:rsidR="0044762E" w:rsidRDefault="00A715E9" w:rsidP="0044762E">
      <w:pPr>
        <w:ind w:left="786"/>
      </w:pPr>
      <w:hyperlink r:id="rId30" w:history="1">
        <w:r w:rsidR="0044762E"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 xml:space="preserve">Jérôme </w:t>
      </w:r>
      <w:proofErr w:type="spellStart"/>
      <w:r>
        <w:t>J</w:t>
      </w:r>
      <w:r w:rsidRPr="00297C98">
        <w:t>aquemet</w:t>
      </w:r>
      <w:proofErr w:type="spellEnd"/>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1"/>
      <w:footerReference w:type="default" r:id="rId32"/>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E9" w:rsidRDefault="00A715E9">
      <w:r>
        <w:separator/>
      </w:r>
    </w:p>
  </w:endnote>
  <w:endnote w:type="continuationSeparator" w:id="0">
    <w:p w:rsidR="00A715E9" w:rsidRDefault="00A7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AD1961" w:rsidRDefault="00A715E9"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07A97">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07A97">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11.05.2021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E9" w:rsidRDefault="00A715E9">
      <w:r>
        <w:separator/>
      </w:r>
    </w:p>
  </w:footnote>
  <w:footnote w:type="continuationSeparator" w:id="0">
    <w:p w:rsidR="00A715E9" w:rsidRDefault="00A7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B673BB" w:rsidRDefault="00A715E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D54C7"/>
    <w:rsid w:val="00104491"/>
    <w:rsid w:val="001114CA"/>
    <w:rsid w:val="0013243F"/>
    <w:rsid w:val="00133042"/>
    <w:rsid w:val="00133EA2"/>
    <w:rsid w:val="00140E1B"/>
    <w:rsid w:val="00147B78"/>
    <w:rsid w:val="0015708D"/>
    <w:rsid w:val="00160870"/>
    <w:rsid w:val="00191881"/>
    <w:rsid w:val="001A348F"/>
    <w:rsid w:val="001A5068"/>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0163"/>
    <w:rsid w:val="0055558E"/>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73BB"/>
    <w:rsid w:val="00B75E24"/>
    <w:rsid w:val="00B8584B"/>
    <w:rsid w:val="00B97F71"/>
    <w:rsid w:val="00BC4850"/>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EE5DA9"/>
    <w:rsid w:val="00F44E36"/>
    <w:rsid w:val="00F53ED8"/>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0A99A"/>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F1581-FDD4-4E49-805C-FB31266B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25</Pages>
  <Words>2865</Words>
  <Characters>18314</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21137</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113</cp:revision>
  <cp:lastPrinted>2021-05-07T09:18:00Z</cp:lastPrinted>
  <dcterms:created xsi:type="dcterms:W3CDTF">2021-05-04T07:21:00Z</dcterms:created>
  <dcterms:modified xsi:type="dcterms:W3CDTF">2021-05-11T13:45:00Z</dcterms:modified>
</cp:coreProperties>
</file>