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pPr>
      <w:r>
        <w:rPr>
          <w:b/>
          <w:bCs/>
          <w:color w:val="13203F"/>
          <w:sz w:val="44"/>
          <w:szCs w:val="44"/>
        </w:rPr>
        <w:t xml:space="preserve">AAL 심리 UX 방법론 리서치 보고서</w:t>
      </w:r>
    </w:p>
    <w:p>
      <w:pPr>
        <w:spacing w:after="240"/>
      </w:pPr>
      <w:r>
        <w:rPr>
          <w:b/>
          <w:bCs/>
          <w:color w:val="A97B15"/>
          <w:sz w:val="24"/>
          <w:szCs w:val="24"/>
        </w:rPr>
        <w:t xml:space="preserve">참여를 위한 설계에서 성장을 위한 설계로 — 시장이 검증한 리텐션 심리학과 AAL의 적용</w:t>
      </w:r>
    </w:p>
    <w:p>
      <w:pPr>
        <w:spacing w:after="160" w:line="300"/>
      </w:pPr>
      <w:r>
        <w:rPr>
          <w:color w:val="5A6C8F"/>
        </w:rPr>
        <w:t xml:space="preserve">작성일 2026-07-03  ·  작성 AAL 심리 UX 리서치  ·  목적: 고리텐션 AI Agent·에듀테크·습관형 서비스의 심리 메커니즘을 분석하고, 심리학·철학적 기반 위에서 AAL Agent/UX 설계 방법론을 도출</w:t>
      </w:r>
    </w:p>
    <w:p>
      <w:pPr>
        <w:spacing w:after="160" w:line="300"/>
      </w:pPr>
      <w:r>
        <w:rPr>
          <w:color w:val="5A6C8F"/>
        </w:rPr>
        <w:t xml:space="preserve">데이터 표기 원칙 — (자사 발표) 해당 기업 공식 발표 / (3자) a16z·Sensor Tower 등 제3자 분석 / (학술) 동료심사 논문·메타분석 / (미검증) 원출처 확인 불가 수치</w:t>
      </w:r>
    </w:p>
    <w:p>
      <w:pPr>
        <w:pStyle w:val="Heading1"/>
      </w:pPr>
      <w:r>
        <w:t xml:space="preserve">0. Executive Summary</w:t>
      </w:r>
    </w:p>
    <w:p>
      <w:pPr>
        <w:spacing w:after="160" w:line="300"/>
      </w:pPr>
      <w:r>
        <w:t xml:space="preserve">시장에서 리텐션 전쟁의 승부를 가른 것은 “애착의 깊이”가 아니라 </w:t>
      </w:r>
      <w:r>
        <w:rPr>
          <w:b/>
          <w:bCs/>
        </w:rPr>
        <w:t xml:space="preserve">“습관 트리거의 빈도 + 축적된 개인 컨텍스트(메모리 락인)”</w:t>
      </w:r>
      <w:r>
        <w:t xml:space="preserve">였다. ChatGPT는 게이미피케이션 없이 DAU/MAU 36%, 12개월 리텐션 50%를 달성했고(3자, a16z), Character.AI는 일 2시간 세션을 만들었지만 그 애착이 소송과 규제로 되돌아왔다. Duolingo는 스트릭·리그로 DAU를 4.5배 키웠지만 “스트릭을 위한 학습”이라는 구조적 비판과 EU 규제 리스크를 안고 있다.</w:t>
      </w:r>
    </w:p>
    <w:p>
      <w:pPr>
        <w:spacing w:after="160" w:line="300"/>
      </w:pPr>
      <w:r>
        <w:t xml:space="preserve">이 지형에서 AAL의 기회는 명확하다. </w:t>
      </w:r>
      <w:r>
        <w:rPr>
          <w:b/>
          <w:bCs/>
        </w:rPr>
        <w:t xml:space="preserve">참여 장치와 학습 성과가 분리되면 규제·신뢰 리스크가 되고(Lumosity FTC 벌금, Duolingo 다크패턴 논쟁), 정렬되면 방어 가능한 차별화가 된다.</w:t>
      </w:r>
      <w:r>
        <w:t xml:space="preserve"> 학술적으로 가장 방어 가능한 조합은 자기결정성이론(SDT) 기반의 정보적 피드백 + 생산적 실패(Productive Failure) + 습관 과학이며, 이는 AAL의 소크라틱 철학과 정확히 일치한다.</w:t>
      </w:r>
    </w:p>
    <w:p>
      <w:pPr>
        <w:spacing w:after="160" w:line="300"/>
      </w:pPr>
      <w:r>
        <w:t xml:space="preserve">본 보고서는 이를 </w:t>
      </w:r>
      <w:r>
        <w:rPr>
          <w:b/>
          <w:bCs/>
        </w:rPr>
        <w:t xml:space="preserve">LUMEN 프레임워크</w:t>
      </w:r>
      <w:r>
        <w:t xml:space="preserve"> — Loop(습관 루프), Uncover(산파술적 발견), Mirror(성장 거울), Empathic-but-bounded(경계 있는 관계), Nurture autonomy(자율성 이양) — 로 방법론화하고, 화면 단위 적용안과 파일럿 KPI 연결까지 제시한다.</w:t>
      </w:r>
    </w:p>
    <w:p>
      <w:pPr>
        <w:pStyle w:val="Heading1"/>
      </w:pPr>
      <w:r>
        <w:t xml:space="preserve">1. 시장 통찰: 무엇이 리텐션을 만드는가</w:t>
      </w:r>
    </w:p>
    <w:p>
      <w:pPr>
        <w:pStyle w:val="Heading2"/>
      </w:pPr>
      <w:r>
        <w:t xml:space="preserve">1.1 AI Agent — 애착보다 습관, 습관보다 메모리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3826"/>
      </w:tblGrid>
      <w:tr>
        <w:tc>
          <w:tcPr>
            <w:tcW w:type="dxa" w:w="1500"/>
            <w:tcBorders>
              <w:top w:val="single" w:color="CCD6E8" w:sz="1"/>
              <w:left w:val="single" w:color="CCD6E8" w:sz="1"/>
              <w:bottom w:val="single" w:color="CCD6E8" w:sz="1"/>
              <w:right w:val="single" w:color="CCD6E8" w:sz="1"/>
            </w:tcBorders>
            <w:shd w:fill="13203F" w:val="clear"/>
            <w:tcMar>
              <w:top w:type="dxa" w:w="80"/>
              <w:left w:type="dxa" w:w="120"/>
              <w:bottom w:type="dxa" w:w="80"/>
              <w:right w:type="dxa" w:w="120"/>
            </w:tcMar>
          </w:tcPr>
          <w:p>
            <w:pPr>
              <w:spacing w:after="0" w:line="260"/>
            </w:pPr>
            <w:r>
              <w:rPr>
                <w:b/>
                <w:bCs/>
                <w:color w:val="FFFFFF"/>
                <w:sz w:val="19"/>
                <w:szCs w:val="19"/>
              </w:rPr>
              <w:t xml:space="preserve">서비스</w:t>
            </w:r>
          </w:p>
        </w:tc>
        <w:tc>
          <w:tcPr>
            <w:tcW w:type="dxa" w:w="3700"/>
            <w:tcBorders>
              <w:top w:val="single" w:color="CCD6E8" w:sz="1"/>
              <w:left w:val="single" w:color="CCD6E8" w:sz="1"/>
              <w:bottom w:val="single" w:color="CCD6E8" w:sz="1"/>
              <w:right w:val="single" w:color="CCD6E8" w:sz="1"/>
            </w:tcBorders>
            <w:shd w:fill="13203F" w:val="clear"/>
            <w:tcMar>
              <w:top w:type="dxa" w:w="80"/>
              <w:left w:type="dxa" w:w="120"/>
              <w:bottom w:type="dxa" w:w="80"/>
              <w:right w:type="dxa" w:w="120"/>
            </w:tcMar>
          </w:tcPr>
          <w:p>
            <w:pPr>
              <w:spacing w:after="0" w:line="260"/>
            </w:pPr>
            <w:r>
              <w:rPr>
                <w:b/>
                <w:bCs/>
                <w:color w:val="FFFFFF"/>
                <w:sz w:val="19"/>
                <w:szCs w:val="19"/>
              </w:rPr>
              <w:t xml:space="preserve">핵심 지표</w:t>
            </w:r>
          </w:p>
        </w:tc>
        <w:tc>
          <w:tcPr>
            <w:tcW w:type="dxa" w:w="3826"/>
            <w:tcBorders>
              <w:top w:val="single" w:color="CCD6E8" w:sz="1"/>
              <w:left w:val="single" w:color="CCD6E8" w:sz="1"/>
              <w:bottom w:val="single" w:color="CCD6E8" w:sz="1"/>
              <w:right w:val="single" w:color="CCD6E8" w:sz="1"/>
            </w:tcBorders>
            <w:shd w:fill="13203F" w:val="clear"/>
            <w:tcMar>
              <w:top w:type="dxa" w:w="80"/>
              <w:left w:type="dxa" w:w="120"/>
              <w:bottom w:type="dxa" w:w="80"/>
              <w:right w:type="dxa" w:w="120"/>
            </w:tcMar>
          </w:tcPr>
          <w:p>
            <w:pPr>
              <w:spacing w:after="0" w:line="260"/>
            </w:pPr>
            <w:r>
              <w:rPr>
                <w:b/>
                <w:bCs/>
                <w:color w:val="FFFFFF"/>
                <w:sz w:val="19"/>
                <w:szCs w:val="19"/>
              </w:rPr>
              <w:t xml:space="preserve">리텐션 엔진</w:t>
            </w:r>
          </w:p>
        </w:tc>
      </w:tr>
      <w:tr>
        <w:tc>
          <w:tcPr>
            <w:tcW w:type="dxa" w:w="1500"/>
            <w:tcBorders>
              <w:top w:val="single" w:color="CCD6E8" w:sz="1"/>
              <w:left w:val="single" w:color="CCD6E8" w:sz="1"/>
              <w:bottom w:val="single" w:color="CCD6E8" w:sz="1"/>
              <w:right w:val="single" w:color="CCD6E8" w:sz="1"/>
            </w:tcBorders>
            <w:tcMar>
              <w:top w:type="dxa" w:w="80"/>
              <w:left w:type="dxa" w:w="120"/>
              <w:bottom w:type="dxa" w:w="80"/>
              <w:right w:type="dxa" w:w="120"/>
            </w:tcMar>
          </w:tcPr>
          <w:p>
            <w:pPr>
              <w:spacing w:after="0" w:line="260"/>
            </w:pPr>
            <w:r>
              <w:rPr>
                <w:b/>
                <w:bCs/>
                <w:sz w:val="19"/>
                <w:szCs w:val="19"/>
              </w:rPr>
              <w:t xml:space="preserve">ChatGPT</w:t>
            </w:r>
          </w:p>
        </w:tc>
        <w:tc>
          <w:tcPr>
            <w:tcW w:type="dxa" w:w="3700"/>
            <w:tcBorders>
              <w:top w:val="single" w:color="CCD6E8" w:sz="1"/>
              <w:left w:val="single" w:color="CCD6E8" w:sz="1"/>
              <w:bottom w:val="single" w:color="CCD6E8" w:sz="1"/>
              <w:right w:val="single" w:color="CCD6E8" w:sz="1"/>
            </w:tcBorders>
            <w:tcMar>
              <w:top w:type="dxa" w:w="80"/>
              <w:left w:type="dxa" w:w="120"/>
              <w:bottom w:type="dxa" w:w="80"/>
              <w:right w:type="dxa" w:w="120"/>
            </w:tcMar>
          </w:tcPr>
          <w:p>
            <w:pPr>
              <w:spacing w:after="0" w:line="260"/>
            </w:pPr>
            <w:r>
              <w:rPr>
                <w:b w:val="false"/>
                <w:bCs w:val="false"/>
                <w:sz w:val="19"/>
                <w:szCs w:val="19"/>
              </w:rPr>
              <w:t xml:space="preserve">DAU/MAU 36% · 12개월 리텐션 50% · 23주차에 오히려 상승하는 커브 (3자, a16z 2025)</w:t>
            </w:r>
          </w:p>
        </w:tc>
        <w:tc>
          <w:tcPr>
            <w:tcW w:type="dxa" w:w="3826"/>
            <w:tcBorders>
              <w:top w:val="single" w:color="CCD6E8" w:sz="1"/>
              <w:left w:val="single" w:color="CCD6E8" w:sz="1"/>
              <w:bottom w:val="single" w:color="CCD6E8" w:sz="1"/>
              <w:right w:val="single" w:color="CCD6E8" w:sz="1"/>
            </w:tcBorders>
            <w:tcMar>
              <w:top w:type="dxa" w:w="80"/>
              <w:left w:type="dxa" w:w="120"/>
              <w:bottom w:type="dxa" w:w="80"/>
              <w:right w:type="dxa" w:w="120"/>
            </w:tcMar>
          </w:tcPr>
          <w:p>
            <w:pPr>
              <w:spacing w:after="0" w:line="260"/>
            </w:pPr>
            <w:r>
              <w:rPr>
                <w:b w:val="false"/>
                <w:bCs w:val="false"/>
                <w:sz w:val="19"/>
                <w:szCs w:val="19"/>
              </w:rPr>
              <w:t xml:space="preserve">유틸리티 습관 + 메모리 락인. 게이미피케이션 없음</w:t>
            </w:r>
          </w:p>
        </w:tc>
      </w:tr>
      <w:tr>
        <w:tc>
          <w:tcPr>
            <w:tcW w:type="dxa" w:w="1500"/>
            <w:tcBorders>
              <w:top w:val="single" w:color="CCD6E8" w:sz="1"/>
              <w:left w:val="single" w:color="CCD6E8" w:sz="1"/>
              <w:bottom w:val="single" w:color="CCD6E8" w:sz="1"/>
              <w:right w:val="single" w:color="CCD6E8" w:sz="1"/>
            </w:tcBorders>
            <w:tcMar>
              <w:top w:type="dxa" w:w="80"/>
              <w:left w:type="dxa" w:w="120"/>
              <w:bottom w:type="dxa" w:w="80"/>
              <w:right w:type="dxa" w:w="120"/>
            </w:tcMar>
          </w:tcPr>
          <w:p>
            <w:pPr>
              <w:spacing w:after="0" w:line="260"/>
            </w:pPr>
            <w:r>
              <w:rPr>
                <w:b/>
                <w:bCs/>
                <w:sz w:val="19"/>
                <w:szCs w:val="19"/>
              </w:rPr>
              <w:t xml:space="preserve">Character.AI</w:t>
            </w:r>
          </w:p>
        </w:tc>
        <w:tc>
          <w:tcPr>
            <w:tcW w:type="dxa" w:w="3700"/>
            <w:tcBorders>
              <w:top w:val="single" w:color="CCD6E8" w:sz="1"/>
              <w:left w:val="single" w:color="CCD6E8" w:sz="1"/>
              <w:bottom w:val="single" w:color="CCD6E8" w:sz="1"/>
              <w:right w:val="single" w:color="CCD6E8" w:sz="1"/>
            </w:tcBorders>
            <w:tcMar>
              <w:top w:type="dxa" w:w="80"/>
              <w:left w:type="dxa" w:w="120"/>
              <w:bottom w:type="dxa" w:w="80"/>
              <w:right w:type="dxa" w:w="120"/>
            </w:tcMar>
          </w:tcPr>
          <w:p>
            <w:pPr>
              <w:spacing w:after="0" w:line="260"/>
            </w:pPr>
            <w:r>
              <w:rPr>
                <w:b w:val="false"/>
                <w:bCs w:val="false"/>
                <w:sz w:val="19"/>
                <w:szCs w:val="19"/>
              </w:rPr>
              <w:t xml:space="preserve">일 평균 2시간 (자사·투자사) · 4주 리텐션 ~48% (3자)</w:t>
            </w:r>
          </w:p>
        </w:tc>
        <w:tc>
          <w:tcPr>
            <w:tcW w:type="dxa" w:w="3826"/>
            <w:tcBorders>
              <w:top w:val="single" w:color="CCD6E8" w:sz="1"/>
              <w:left w:val="single" w:color="CCD6E8" w:sz="1"/>
              <w:bottom w:val="single" w:color="CCD6E8" w:sz="1"/>
              <w:right w:val="single" w:color="CCD6E8" w:sz="1"/>
            </w:tcBorders>
            <w:tcMar>
              <w:top w:type="dxa" w:w="80"/>
              <w:left w:type="dxa" w:w="120"/>
              <w:bottom w:type="dxa" w:w="80"/>
              <w:right w:type="dxa" w:w="120"/>
            </w:tcMar>
          </w:tcPr>
          <w:p>
            <w:pPr>
              <w:spacing w:after="0" w:line="260"/>
            </w:pPr>
            <w:r>
              <w:rPr>
                <w:b w:val="false"/>
                <w:bCs w:val="false"/>
                <w:sz w:val="19"/>
                <w:szCs w:val="19"/>
              </w:rPr>
              <w:t xml:space="preserve">캐릭터 애착 + 다층 메모리(핀 메모리를 과금 레버로)</w:t>
            </w:r>
          </w:p>
        </w:tc>
      </w:tr>
      <w:tr>
        <w:tc>
          <w:tcPr>
            <w:tcW w:type="dxa" w:w="1500"/>
            <w:tcBorders>
              <w:top w:val="single" w:color="CCD6E8" w:sz="1"/>
              <w:left w:val="single" w:color="CCD6E8" w:sz="1"/>
              <w:bottom w:val="single" w:color="CCD6E8" w:sz="1"/>
              <w:right w:val="single" w:color="CCD6E8" w:sz="1"/>
            </w:tcBorders>
            <w:tcMar>
              <w:top w:type="dxa" w:w="80"/>
              <w:left w:type="dxa" w:w="120"/>
              <w:bottom w:type="dxa" w:w="80"/>
              <w:right w:type="dxa" w:w="120"/>
            </w:tcMar>
          </w:tcPr>
          <w:p>
            <w:pPr>
              <w:spacing w:after="0" w:line="260"/>
            </w:pPr>
            <w:r>
              <w:rPr>
                <w:b/>
                <w:bCs/>
                <w:sz w:val="19"/>
                <w:szCs w:val="19"/>
              </w:rPr>
              <w:t xml:space="preserve">Replika</w:t>
            </w:r>
          </w:p>
        </w:tc>
        <w:tc>
          <w:tcPr>
            <w:tcW w:type="dxa" w:w="3700"/>
            <w:tcBorders>
              <w:top w:val="single" w:color="CCD6E8" w:sz="1"/>
              <w:left w:val="single" w:color="CCD6E8" w:sz="1"/>
              <w:bottom w:val="single" w:color="CCD6E8" w:sz="1"/>
              <w:right w:val="single" w:color="CCD6E8" w:sz="1"/>
            </w:tcBorders>
            <w:tcMar>
              <w:top w:type="dxa" w:w="80"/>
              <w:left w:type="dxa" w:w="120"/>
              <w:bottom w:type="dxa" w:w="80"/>
              <w:right w:type="dxa" w:w="120"/>
            </w:tcMar>
          </w:tcPr>
          <w:p>
            <w:pPr>
              <w:spacing w:after="0" w:line="260"/>
            </w:pPr>
            <w:r>
              <w:rPr>
                <w:b w:val="false"/>
                <w:bCs w:val="false"/>
                <w:sz w:val="19"/>
                <w:szCs w:val="19"/>
              </w:rPr>
              <w:t xml:space="preserve">일 평균 ~70개 메시지 (미검증)</w:t>
            </w:r>
          </w:p>
        </w:tc>
        <w:tc>
          <w:tcPr>
            <w:tcW w:type="dxa" w:w="3826"/>
            <w:tcBorders>
              <w:top w:val="single" w:color="CCD6E8" w:sz="1"/>
              <w:left w:val="single" w:color="CCD6E8" w:sz="1"/>
              <w:bottom w:val="single" w:color="CCD6E8" w:sz="1"/>
              <w:right w:val="single" w:color="CCD6E8" w:sz="1"/>
            </w:tcBorders>
            <w:tcMar>
              <w:top w:type="dxa" w:w="80"/>
              <w:left w:type="dxa" w:w="120"/>
              <w:bottom w:type="dxa" w:w="80"/>
              <w:right w:type="dxa" w:w="120"/>
            </w:tcMar>
          </w:tcPr>
          <w:p>
            <w:pPr>
              <w:spacing w:after="0" w:line="260"/>
            </w:pPr>
            <w:r>
              <w:rPr>
                <w:b w:val="false"/>
                <w:bCs w:val="false"/>
                <w:sz w:val="19"/>
                <w:szCs w:val="19"/>
              </w:rPr>
              <w:t xml:space="preserve">관계 게이미피케이션(아바타·관계 단계·XP)</w:t>
            </w:r>
          </w:p>
        </w:tc>
      </w:tr>
      <w:tr>
        <w:tc>
          <w:tcPr>
            <w:tcW w:type="dxa" w:w="1500"/>
            <w:tcBorders>
              <w:top w:val="single" w:color="CCD6E8" w:sz="1"/>
              <w:left w:val="single" w:color="CCD6E8" w:sz="1"/>
              <w:bottom w:val="single" w:color="CCD6E8" w:sz="1"/>
              <w:right w:val="single" w:color="CCD6E8" w:sz="1"/>
            </w:tcBorders>
            <w:tcMar>
              <w:top w:type="dxa" w:w="80"/>
              <w:left w:type="dxa" w:w="120"/>
              <w:bottom w:type="dxa" w:w="80"/>
              <w:right w:type="dxa" w:w="120"/>
            </w:tcMar>
          </w:tcPr>
          <w:p>
            <w:pPr>
              <w:spacing w:after="0" w:line="260"/>
            </w:pPr>
            <w:r>
              <w:rPr>
                <w:b/>
                <w:bCs/>
                <w:sz w:val="19"/>
                <w:szCs w:val="19"/>
              </w:rPr>
              <w:t xml:space="preserve">Pi</w:t>
            </w:r>
          </w:p>
        </w:tc>
        <w:tc>
          <w:tcPr>
            <w:tcW w:type="dxa" w:w="3700"/>
            <w:tcBorders>
              <w:top w:val="single" w:color="CCD6E8" w:sz="1"/>
              <w:left w:val="single" w:color="CCD6E8" w:sz="1"/>
              <w:bottom w:val="single" w:color="CCD6E8" w:sz="1"/>
              <w:right w:val="single" w:color="CCD6E8" w:sz="1"/>
            </w:tcBorders>
            <w:tcMar>
              <w:top w:type="dxa" w:w="80"/>
              <w:left w:type="dxa" w:w="120"/>
              <w:bottom w:type="dxa" w:w="80"/>
              <w:right w:type="dxa" w:w="120"/>
            </w:tcMar>
          </w:tcPr>
          <w:p>
            <w:pPr>
              <w:spacing w:after="0" w:line="260"/>
            </w:pPr>
            <w:r>
              <w:rPr>
                <w:b w:val="false"/>
                <w:bCs w:val="false"/>
                <w:sz w:val="19"/>
                <w:szCs w:val="19"/>
              </w:rPr>
              <w:t xml:space="preserve">대화 33분 · 주간 복귀 60% (자사 2024)</w:t>
            </w:r>
          </w:p>
        </w:tc>
        <w:tc>
          <w:tcPr>
            <w:tcW w:type="dxa" w:w="3826"/>
            <w:tcBorders>
              <w:top w:val="single" w:color="CCD6E8" w:sz="1"/>
              <w:left w:val="single" w:color="CCD6E8" w:sz="1"/>
              <w:bottom w:val="single" w:color="CCD6E8" w:sz="1"/>
              <w:right w:val="single" w:color="CCD6E8" w:sz="1"/>
            </w:tcBorders>
            <w:tcMar>
              <w:top w:type="dxa" w:w="80"/>
              <w:left w:type="dxa" w:w="120"/>
              <w:bottom w:type="dxa" w:w="80"/>
              <w:right w:type="dxa" w:w="120"/>
            </w:tcMar>
          </w:tcPr>
          <w:p>
            <w:pPr>
              <w:spacing w:after="0" w:line="260"/>
            </w:pPr>
            <w:r>
              <w:rPr>
                <w:b w:val="false"/>
                <w:bCs w:val="false"/>
                <w:sz w:val="19"/>
                <w:szCs w:val="19"/>
              </w:rPr>
              <w:t xml:space="preserve">고EQ 대화·이름 기억 — 그러나 사업 정체로 몰락</w:t>
            </w:r>
          </w:p>
        </w:tc>
      </w:tr>
      <w:tr>
        <w:tc>
          <w:tcPr>
            <w:tcW w:type="dxa" w:w="1500"/>
            <w:tcBorders>
              <w:top w:val="single" w:color="CCD6E8" w:sz="1"/>
              <w:left w:val="single" w:color="CCD6E8" w:sz="1"/>
              <w:bottom w:val="single" w:color="CCD6E8" w:sz="1"/>
              <w:right w:val="single" w:color="CCD6E8" w:sz="1"/>
            </w:tcBorders>
            <w:tcMar>
              <w:top w:type="dxa" w:w="80"/>
              <w:left w:type="dxa" w:w="120"/>
              <w:bottom w:type="dxa" w:w="80"/>
              <w:right w:type="dxa" w:w="120"/>
            </w:tcMar>
          </w:tcPr>
          <w:p>
            <w:pPr>
              <w:spacing w:after="0" w:line="260"/>
            </w:pPr>
            <w:r>
              <w:rPr>
                <w:b/>
                <w:bCs/>
                <w:sz w:val="19"/>
                <w:szCs w:val="19"/>
              </w:rPr>
              <w:t xml:space="preserve">Claude</w:t>
            </w:r>
          </w:p>
        </w:tc>
        <w:tc>
          <w:tcPr>
            <w:tcW w:type="dxa" w:w="3700"/>
            <w:tcBorders>
              <w:top w:val="single" w:color="CCD6E8" w:sz="1"/>
              <w:left w:val="single" w:color="CCD6E8" w:sz="1"/>
              <w:bottom w:val="single" w:color="CCD6E8" w:sz="1"/>
              <w:right w:val="single" w:color="CCD6E8" w:sz="1"/>
            </w:tcBorders>
            <w:tcMar>
              <w:top w:type="dxa" w:w="80"/>
              <w:left w:type="dxa" w:w="120"/>
              <w:bottom w:type="dxa" w:w="80"/>
              <w:right w:type="dxa" w:w="120"/>
            </w:tcMar>
          </w:tcPr>
          <w:p>
            <w:pPr>
              <w:spacing w:after="0" w:line="260"/>
            </w:pPr>
            <w:r>
              <w:rPr>
                <w:b w:val="false"/>
                <w:bCs w:val="false"/>
                <w:sz w:val="19"/>
                <w:szCs w:val="19"/>
              </w:rPr>
              <w:t xml:space="preserve">4주 리텐션 ~41% · 파워유저 참여 최상위 (3자)</w:t>
            </w:r>
          </w:p>
        </w:tc>
        <w:tc>
          <w:tcPr>
            <w:tcW w:type="dxa" w:w="3826"/>
            <w:tcBorders>
              <w:top w:val="single" w:color="CCD6E8" w:sz="1"/>
              <w:left w:val="single" w:color="CCD6E8" w:sz="1"/>
              <w:bottom w:val="single" w:color="CCD6E8" w:sz="1"/>
              <w:right w:val="single" w:color="CCD6E8" w:sz="1"/>
            </w:tcBorders>
            <w:tcMar>
              <w:top w:type="dxa" w:w="80"/>
              <w:left w:type="dxa" w:w="120"/>
              <w:bottom w:type="dxa" w:w="80"/>
              <w:right w:type="dxa" w:w="120"/>
            </w:tcMar>
          </w:tcPr>
          <w:p>
            <w:pPr>
              <w:spacing w:after="0" w:line="260"/>
            </w:pPr>
            <w:r>
              <w:rPr>
                <w:b w:val="false"/>
                <w:bCs w:val="false"/>
                <w:sz w:val="19"/>
                <w:szCs w:val="19"/>
              </w:rPr>
              <w:t xml:space="preserve">업무 워크플로 락인. 감정 장치 의도적 배제</w:t>
            </w:r>
          </w:p>
        </w:tc>
      </w:tr>
    </w:tbl>
    <w:p>
      <w:pPr>
        <w:spacing w:after="160"/>
      </w:pPr>
    </w:p>
    <w:p>
      <w:pPr>
        <w:spacing w:after="160" w:line="300"/>
      </w:pPr>
      <w:r>
        <w:rPr>
          <w:b/>
          <w:bCs/>
        </w:rPr>
        <w:t xml:space="preserve">통찰 1 — 빈도가 깊이를 이긴다. </w:t>
      </w:r>
      <w:r>
        <w:t xml:space="preserve">세션 2시간(Character.AI)보다 하루 여러 번 6분(ChatGPT)이 장기 리텐션에서 승리했다. 학습 서비스 관점: 주 1회 90분보다 매일 15분이 리텐션 구조상 우월하다.</w:t>
      </w:r>
    </w:p>
    <w:p>
      <w:pPr>
        <w:spacing w:after="160" w:line="300"/>
      </w:pPr>
      <w:r>
        <w:rPr>
          <w:b/>
          <w:bCs/>
        </w:rPr>
        <w:t xml:space="preserve">통찰 2 — 메모리가 새로운 락인이다. </w:t>
      </w:r>
      <w:r>
        <w:t xml:space="preserve">모든 승자가 “쓸수록 나를 더 잘 아는 제품”으로 전환 비용을 만들었다. AI 튜터에서 이것은 “내 사고 과정을 기억하고 이어주는 튜터”로 번역된다.</w:t>
      </w:r>
    </w:p>
    <w:p>
      <w:pPr>
        <w:spacing w:after="160" w:line="300"/>
      </w:pPr>
      <w:r>
        <w:rPr>
          <w:b/>
          <w:bCs/>
        </w:rPr>
        <w:t xml:space="preserve">통찰 3 — 감정 애착 리텐션은 부채다. </w:t>
      </w:r>
      <w:r>
        <w:t xml:space="preserve">하버드 비즈니스 스쿨 연구(2025)에 따르면 컴패니언 앱의 43%가 작별 인사 순간 감정적 조종 전술을 사용했고 이는 재참여를 최대 14배 올렸지만(학술), Character.AI는 미성년자 사망 소송 끝에 18세 미만 개방형 챗을 금지했고(2025.10), Common Sense Media는 소셜 AI 컴패니언을 “18세 미만에게 수용 불가능한 위험”으로 판정했다. 미국 13~17세의 72%가 이미 AI 컴패니언을 경험한 시대에(Common Sense Media 2025), 11~15세 대상 AAL의 페르소나는 “친구·연인 모방”이 아니라 “경계가 명확한 학습 조력자”여야 하며, 이는 윤리이자 곧 사업 리스크 관리다.</w:t>
      </w:r>
    </w:p>
    <w:p>
      <w:pPr>
        <w:pStyle w:val="Heading2"/>
      </w:pPr>
      <w:r>
        <w:t xml:space="preserve">1.2 에듀테크 — Duolingo의 성공 공식과 그 그림자</w:t>
      </w:r>
    </w:p>
    <w:p>
      <w:pPr>
        <w:spacing w:after="160" w:line="300"/>
      </w:pPr>
      <w:r>
        <w:t xml:space="preserve">Duolingo 공개 데이터 기준 효과의 위계 (자사 발표·전 CPO 증언):</w:t>
      </w:r>
    </w:p>
    <w:p>
      <w:pPr>
        <w:pStyle w:val="ListParagraph"/>
        <w:numPr>
          <w:ilvl w:val="0"/>
          <w:numId w:val="2"/>
        </w:numPr>
        <w:spacing w:after="100" w:line="300"/>
      </w:pPr>
      <w:r>
        <w:rPr>
          <w:b/>
          <w:bCs/>
        </w:rPr>
        <w:t xml:space="preserve">리그(리더보드): </w:t>
      </w:r>
      <w:r>
        <w:t xml:space="preserve">총 학습 시간 +17%, 고몰입 학습자 3배 — 단 “참여 수준이 비슷한 유저끼리” 매칭한 것이 성공 요인</w:t>
      </w:r>
    </w:p>
    <w:p>
      <w:pPr>
        <w:pStyle w:val="ListParagraph"/>
        <w:numPr>
          <w:ilvl w:val="0"/>
          <w:numId w:val="2"/>
        </w:numPr>
        <w:spacing w:after="100" w:line="300"/>
      </w:pPr>
      <w:r>
        <w:rPr>
          <w:b/>
          <w:bCs/>
        </w:rPr>
        <w:t xml:space="preserve">스트릭 계열: </w:t>
      </w:r>
      <w:r>
        <w:t xml:space="preserve">북극성 지표 CURR(당일 활성 유저의 익일 복귀율) 4년간 +21% → DAU 4.5배의 핵심 동력. 1년+ 스트릭 보유자 1,000만 명</w:t>
      </w:r>
    </w:p>
    <w:p>
      <w:pPr>
        <w:pStyle w:val="ListParagraph"/>
        <w:numPr>
          <w:ilvl w:val="0"/>
          <w:numId w:val="2"/>
        </w:numPr>
        <w:spacing w:after="100" w:line="300"/>
      </w:pPr>
      <w:r>
        <w:rPr>
          <w:b/>
          <w:bCs/>
        </w:rPr>
        <w:t xml:space="preserve">Friend Streak: </w:t>
      </w:r>
      <w:r>
        <w:t xml:space="preserve">공유 스트릭 보유 시 데일리 레슨 완료 확률 +22% — 개인적 손실회피를 “친구를 실망시키지 않기”라는 사회적 책무로 확장</w:t>
      </w:r>
    </w:p>
    <w:p>
      <w:pPr>
        <w:pStyle w:val="ListParagraph"/>
        <w:numPr>
          <w:ilvl w:val="0"/>
          <w:numId w:val="2"/>
        </w:numPr>
        <w:spacing w:after="100" w:line="300"/>
      </w:pPr>
      <w:r>
        <w:rPr>
          <w:b/>
          <w:bCs/>
        </w:rPr>
        <w:t xml:space="preserve">위젯·알림: </w:t>
      </w:r>
      <w:r>
        <w:t xml:space="preserve">“채널을 보호하라” 원칙 하에 수십 개 중소형 개선의 누적. 단발 기능이 아니라 단일 북극성 지표 + 수백 개 실험의 누적이 실체</w:t>
      </w:r>
    </w:p>
    <w:p>
      <w:pPr>
        <w:spacing w:after="160" w:line="300"/>
      </w:pPr>
      <w:r>
        <w:rPr>
          <w:b/>
          <w:bCs/>
        </w:rPr>
        <w:t xml:space="preserve">그림자: </w:t>
      </w:r>
      <w:r>
        <w:t xml:space="preserve">스트릭이 목적이 되고 학습이 수단이 되는 전도(performative learning), 아동의 스트릭 상실 불안, 다크패턴 비판 축적. Duolingo PM의 “학습은 부산물(learn as a byproduct)” 발언이 논쟁의 상징이 됐다. 반면 Khanmigo는 소크라틱 교수법 자체로 승부했지만 참여 장치 부재로 시장 반응이 미미 — 일부 매체는 “non-event”로 평가했다. </w:t>
      </w:r>
      <w:r>
        <w:rPr>
          <w:b/>
          <w:bCs/>
        </w:rPr>
        <w:t xml:space="preserve">교수법만으로도, 참여 장치만으로도 부족하다는 것이 에듀테크의 양면 교훈이다.</w:t>
      </w:r>
    </w:p>
    <w:p>
      <w:pPr>
        <w:spacing w:after="160" w:line="300"/>
      </w:pPr>
      <w:r>
        <w:rPr>
          <w:b/>
          <w:bCs/>
        </w:rPr>
        <w:t xml:space="preserve">반면교사: </w:t>
      </w:r>
      <w:r>
        <w:t xml:space="preserve">Lumosity는 게이미피케이션 완성도가 높았지만 근거 없는 효능 주장으로 FTC에 200만 달러 벌금(2016). 참여 장치가 아무리 정교해도 학습 효능 근거가 무너지면 규제·신뢰 리스크가 된다. AAL의 KATE 인증·3축 방법론은 이 지점에서 자산이다.</w:t>
      </w:r>
    </w:p>
    <w:p>
      <w:pPr>
        <w:pStyle w:val="Heading2"/>
      </w:pPr>
      <w:r>
        <w:t xml:space="preserve">1.3 습관형 서비스 — 이식 가능한 5가지 패턴</w:t>
      </w:r>
    </w:p>
    <w:p>
      <w:pPr>
        <w:pStyle w:val="ListParagraph"/>
        <w:numPr>
          <w:ilvl w:val="0"/>
          <w:numId w:val="3"/>
        </w:numPr>
        <w:spacing w:after="100" w:line="300"/>
      </w:pPr>
      <w:r>
        <w:rPr>
          <w:b/>
          <w:bCs/>
        </w:rPr>
        <w:t xml:space="preserve">정체성 배지 (Nike Run Club): </w:t>
      </w:r>
      <w:r>
        <w:t xml:space="preserve">포인트가 아니라 “나는 러너다”의 증거가 되는 마일스톤. 첫날 achievement 1개 이상 달성 사용자의 리텐션 33.4% vs 미달성 20.5% (+64%, 3자 분석). → 첫 세션에서 반드시 성취 1개를 보장하는 온보딩.</w:t>
      </w:r>
    </w:p>
    <w:p>
      <w:pPr>
        <w:pStyle w:val="ListParagraph"/>
        <w:numPr>
          <w:ilvl w:val="0"/>
          <w:numId w:val="3"/>
        </w:numPr>
        <w:spacing w:after="100" w:line="300"/>
      </w:pPr>
      <w:r>
        <w:rPr>
          <w:b/>
          <w:bCs/>
        </w:rPr>
        <w:t xml:space="preserve">관계에 묶인 습관 (Strava): </w:t>
      </w:r>
      <w:r>
        <w:t xml:space="preserve">그룹 활동 기록자는 12개월 활성 유지율이 솔로 대비 유의하게 높음(자사). 커뮤니티형 명상앱 Insight Timer의 D30 리텐션(16%)이 Headspace(7.65%)·Calm(8.34%)의 2배(3자). → 혼자 하는 스트릭보다 관계에 묶인 학습이 오래간다.</w:t>
      </w:r>
    </w:p>
    <w:p>
      <w:pPr>
        <w:pStyle w:val="ListParagraph"/>
        <w:numPr>
          <w:ilvl w:val="0"/>
          <w:numId w:val="3"/>
        </w:numPr>
        <w:spacing w:after="100" w:line="300"/>
      </w:pPr>
      <w:r>
        <w:rPr>
          <w:b/>
          <w:bCs/>
        </w:rPr>
        <w:t xml:space="preserve">키운 것을 잃는 손실회피 (Forest): </w:t>
      </w:r>
      <w:r>
        <w:t xml:space="preserve">벌점이 아니라 “내가 키운 나무가 시든다”는 구조 + 실제 나무 심기(200만 그루)로 이타적 의미 부여. → 처벌 없이 작동하는 손실회피 + 의미 부여.</w:t>
      </w:r>
    </w:p>
    <w:p>
      <w:pPr>
        <w:pStyle w:val="ListParagraph"/>
        <w:numPr>
          <w:ilvl w:val="0"/>
          <w:numId w:val="3"/>
        </w:numPr>
        <w:spacing w:after="100" w:line="300"/>
      </w:pPr>
      <w:r>
        <w:rPr>
          <w:b/>
          <w:bCs/>
        </w:rPr>
        <w:t xml:space="preserve">미완성의 시각화 (Apple 링): </w:t>
      </w:r>
      <w:r>
        <w:t xml:space="preserve">게슈탈트 폐쇄 욕구 + 목표구배. 단 Apple도 watchOS 11에서 ‘링 일시정지’를 도입해 스트릭 부작용을 스스로 보완. → 쉬어가기(용서 장치)는 필수 세트.</w:t>
      </w:r>
    </w:p>
    <w:p>
      <w:pPr>
        <w:pStyle w:val="ListParagraph"/>
        <w:numPr>
          <w:ilvl w:val="0"/>
          <w:numId w:val="3"/>
        </w:numPr>
        <w:spacing w:after="100" w:line="300"/>
      </w:pPr>
      <w:r>
        <w:rPr>
          <w:b/>
          <w:bCs/>
        </w:rPr>
        <w:t xml:space="preserve">성장 서사 결산 (Spotify Wrapped·Strava Year in Sport): </w:t>
      </w:r>
      <w:r>
        <w:t xml:space="preserve">흩어진 데이터를 “한 해의 이야기”로 엮어 정체성을 강화하고 공유를 유발. 단 Todoist Karma의 교훈 — 포인트 사용자와 비사용자의 작업 완료율이 사실상 동일(62.3% vs 62.1%)했고 포인트 파밍만 늘었다. → 결산 지표는 반드시 실제 학습 성과와 연동할 것.</w:t>
      </w:r>
    </w:p>
    <w:p>
      <w:pPr>
        <w:pStyle w:val="Heading2"/>
      </w:pPr>
      <w:r>
        <w:t xml:space="preserve">1.4 종합: 리텐션의 3층 구조</w:t>
      </w:r>
    </w:p>
    <w:p>
      <w:pPr>
        <w:pStyle w:val="ListParagraph"/>
        <w:numPr>
          <w:ilvl w:val="0"/>
          <w:numId w:val="2"/>
        </w:numPr>
        <w:spacing w:after="100" w:line="300"/>
      </w:pPr>
      <w:r>
        <w:rPr>
          <w:b/>
          <w:bCs/>
        </w:rPr>
        <w:t xml:space="preserve">오게 만드는 힘 (Habit): </w:t>
      </w:r>
      <w:r>
        <w:t xml:space="preserve">맥락 단서, 스트릭+용서 장치, 최소 행동 단위 — Duolingo·Forest</w:t>
      </w:r>
    </w:p>
    <w:p>
      <w:pPr>
        <w:pStyle w:val="ListParagraph"/>
        <w:numPr>
          <w:ilvl w:val="0"/>
          <w:numId w:val="2"/>
        </w:numPr>
        <w:spacing w:after="100" w:line="300"/>
      </w:pPr>
      <w:r>
        <w:rPr>
          <w:b/>
          <w:bCs/>
        </w:rPr>
        <w:t xml:space="preserve">머물게 하는 힘 (Engagement): </w:t>
      </w:r>
      <w:r>
        <w:t xml:space="preserve">적정 난이도의 몰입, 페르소나와의 상호작용, 진행 가시화 — Character.AI·Apple 링</w:t>
      </w:r>
    </w:p>
    <w:p>
      <w:pPr>
        <w:pStyle w:val="ListParagraph"/>
        <w:numPr>
          <w:ilvl w:val="0"/>
          <w:numId w:val="2"/>
        </w:numPr>
        <w:spacing w:after="100" w:line="300"/>
      </w:pPr>
      <w:r>
        <w:rPr>
          <w:b/>
          <w:bCs/>
        </w:rPr>
        <w:t xml:space="preserve">남게 하는 힘 (Identity): </w:t>
      </w:r>
      <w:r>
        <w:t xml:space="preserve">축적된 메모리, 성장 서사, “나는 이런 사람”이라는 정체성 — ChatGPT 메모리·NRC·Wrapped</w:t>
      </w:r>
    </w:p>
    <w:p>
      <w:pPr>
        <w:spacing w:after="160" w:line="300"/>
      </w:pPr>
      <w:r>
        <w:t xml:space="preserve">대부분의 실패는 1~2층(참여)만 최적화하고 3층(정체성·성과)과의 정렬을 놓친 데서 왔다. </w:t>
      </w:r>
      <w:r>
        <w:rPr>
          <w:b/>
          <w:bCs/>
        </w:rPr>
        <w:t xml:space="preserve">AAL은 3층부터 설계하고 1~2층을 그 수단으로 배치해야 한다.</w:t>
      </w:r>
    </w:p>
    <w:p>
      <w:r>
        <w:br w:type="page"/>
      </w:r>
    </w:p>
    <w:p>
      <w:pPr>
        <w:pStyle w:val="Heading1"/>
      </w:pPr>
      <w:r>
        <w:t xml:space="preserve">2. 심리학·철학 기반: 왜 작동하는가</w:t>
      </w:r>
    </w:p>
    <w:p>
      <w:pPr>
        <w:pStyle w:val="Heading2"/>
      </w:pPr>
      <w:r>
        <w:t xml:space="preserve">2.1 근거 위계 (임원 보고 시 인용 신뢰도 기준)</w:t>
      </w:r>
    </w:p>
    <w:p>
      <w:pPr>
        <w:pStyle w:val="Heading3"/>
      </w:pPr>
      <w:r>
        <w:t xml:space="preserve">근거 강도 상 (메타분석급)</w:t>
      </w:r>
    </w:p>
    <w:p>
      <w:pPr>
        <w:pStyle w:val="ListParagraph"/>
        <w:numPr>
          <w:ilvl w:val="0"/>
          <w:numId w:val="2"/>
        </w:numPr>
        <w:spacing w:after="100" w:line="300"/>
      </w:pPr>
      <w:r>
        <w:rPr>
          <w:b/>
          <w:bCs/>
        </w:rPr>
        <w:t xml:space="preserve">자기결정성이론(SDT, Deci &amp; Ryan): </w:t>
      </w:r>
      <w:r>
        <w:t xml:space="preserve">자율성·유능감·관계성 3욕구. 344개 표본 22만 명 메타분석(Howard et al. 2021)에서 내재 동기가 성취·지속성과 가장 강하게 연관. 게이미피케이션 연구의 표준 이론틀.</w:t>
      </w:r>
    </w:p>
    <w:p>
      <w:pPr>
        <w:pStyle w:val="ListParagraph"/>
        <w:numPr>
          <w:ilvl w:val="0"/>
          <w:numId w:val="2"/>
        </w:numPr>
        <w:spacing w:after="100" w:line="300"/>
      </w:pPr>
      <w:r>
        <w:rPr>
          <w:b/>
          <w:bCs/>
        </w:rPr>
        <w:t xml:space="preserve">과잉정당화 효과(Lepper, Greene &amp; Nisbett 1973; Deci et al. 1999 메타분석 128개 실험): </w:t>
      </w:r>
      <w:r>
        <w:t xml:space="preserve">참여 조건부의 기대된 유형 보상은 내적 동기를 훼손. 단 언어적 칭찬·정보적 피드백은 훼손하지 않거나 오히려 긍정적 — AAL 보상 설계의 결정적 분기점.</w:t>
      </w:r>
    </w:p>
    <w:p>
      <w:pPr>
        <w:pStyle w:val="ListParagraph"/>
        <w:numPr>
          <w:ilvl w:val="0"/>
          <w:numId w:val="2"/>
        </w:numPr>
        <w:spacing w:after="100" w:line="300"/>
      </w:pPr>
      <w:r>
        <w:rPr>
          <w:b/>
          <w:bCs/>
        </w:rPr>
        <w:t xml:space="preserve">손실회피(Kahneman &amp; Tversky 1979): </w:t>
      </w:r>
      <w:r>
        <w:t xml:space="preserve">손실의 고통은 이득의 약 2배. 스트릭 설계의 근거이자, 남용 시 불안 유발의 근거.</w:t>
      </w:r>
    </w:p>
    <w:p>
      <w:pPr>
        <w:pStyle w:val="ListParagraph"/>
        <w:numPr>
          <w:ilvl w:val="0"/>
          <w:numId w:val="2"/>
        </w:numPr>
        <w:spacing w:after="100" w:line="300"/>
      </w:pPr>
      <w:r>
        <w:rPr>
          <w:b/>
          <w:bCs/>
        </w:rPr>
        <w:t xml:space="preserve">생산적 실패(Kapur; Sinha &amp; Kapur 2021 메타분석, 53개 연구 1.2만 명): </w:t>
      </w:r>
      <w:r>
        <w:t xml:space="preserve">지도 전에 먼저 스스로 씨름하게 하는 것(PS-I)이 개념 이해·전이에 우월. “먼저 생각하게 하라”는 소크라틱 설계의 직접적 실증 근거.</w:t>
      </w:r>
    </w:p>
    <w:p>
      <w:pPr>
        <w:pStyle w:val="ListParagraph"/>
        <w:numPr>
          <w:ilvl w:val="0"/>
          <w:numId w:val="2"/>
        </w:numPr>
        <w:spacing w:after="100" w:line="300"/>
      </w:pPr>
      <w:r>
        <w:rPr>
          <w:b/>
          <w:bCs/>
        </w:rPr>
        <w:t xml:space="preserve">바람직한 어려움(Bjork): </w:t>
      </w:r>
      <w:r>
        <w:t xml:space="preserve">학습 중 더 어렵게 느껴지는 조건(인출 연습·간격 두기)이 장기 기억을 강화. 단 사전 지식이 부족한 학습자에겐 역효과 — 비계(scaffolding)와 병행 필수.</w:t>
      </w:r>
    </w:p>
    <w:p>
      <w:pPr>
        <w:pStyle w:val="ListParagraph"/>
        <w:numPr>
          <w:ilvl w:val="0"/>
          <w:numId w:val="2"/>
        </w:numPr>
        <w:spacing w:after="100" w:line="300"/>
      </w:pPr>
      <w:r>
        <w:rPr>
          <w:b/>
          <w:bCs/>
        </w:rPr>
        <w:t xml:space="preserve">습관 과학(Lally et al. 2010; Wood &amp; Neal 2007; Fogg B=MAP): </w:t>
      </w:r>
      <w:r>
        <w:t xml:space="preserve">자동성 형성 평균 66일(개인차 18~254일). 하루 빠져도 습관 형성에 큰 타격이 없다는 것이 실증 결과 — “하루 끊기면 리셋”인 스트릭 설계는 습관 과학과 어긋난다. 용서 장치가 과학적으로 정당하다.</w:t>
      </w:r>
    </w:p>
    <w:p>
      <w:pPr>
        <w:pStyle w:val="Heading3"/>
      </w:pPr>
      <w:r>
        <w:t xml:space="preserve">근거 강도 중</w:t>
      </w:r>
    </w:p>
    <w:p>
      <w:pPr>
        <w:pStyle w:val="ListParagraph"/>
        <w:numPr>
          <w:ilvl w:val="0"/>
          <w:numId w:val="2"/>
        </w:numPr>
        <w:spacing w:after="100" w:line="300"/>
      </w:pPr>
      <w:r>
        <w:rPr>
          <w:b/>
          <w:bCs/>
        </w:rPr>
        <w:t xml:space="preserve">Flow(Csikszentmihalyi): </w:t>
      </w:r>
      <w:r>
        <w:t xml:space="preserve">도전-기술 균형에서 몰입 발생. 적응형 난이도의 근거.</w:t>
      </w:r>
    </w:p>
    <w:p>
      <w:pPr>
        <w:pStyle w:val="ListParagraph"/>
        <w:numPr>
          <w:ilvl w:val="0"/>
          <w:numId w:val="2"/>
        </w:numPr>
        <w:spacing w:after="100" w:line="300"/>
      </w:pPr>
      <w:r>
        <w:rPr>
          <w:b/>
          <w:bCs/>
        </w:rPr>
        <w:t xml:space="preserve">목표구배 효과(Hull 1932; Kivetz et al. 2006): </w:t>
      </w:r>
      <w:r>
        <w:t xml:space="preserve">목표에 가까울수록 가속, “미리 찍어준 2칸”(endowed progress)도 유효. 단 보상 획득 직후 동기 급락(post-reward reset) 주의.</w:t>
      </w:r>
    </w:p>
    <w:p>
      <w:pPr>
        <w:pStyle w:val="ListParagraph"/>
        <w:numPr>
          <w:ilvl w:val="0"/>
          <w:numId w:val="2"/>
        </w:numPr>
        <w:spacing w:after="100" w:line="300"/>
      </w:pPr>
      <w:r>
        <w:rPr>
          <w:b/>
          <w:bCs/>
        </w:rPr>
        <w:t xml:space="preserve">IKEA 효과(Norton, Mochon &amp; Ariely 2012): </w:t>
      </w:r>
      <w:r>
        <w:t xml:space="preserve">내 손으로 만든 것에 애착. 단 성공적으로 완료했을 때만 발생.</w:t>
      </w:r>
    </w:p>
    <w:p>
      <w:pPr>
        <w:pStyle w:val="ListParagraph"/>
        <w:numPr>
          <w:ilvl w:val="0"/>
          <w:numId w:val="2"/>
        </w:numPr>
        <w:spacing w:after="100" w:line="300"/>
      </w:pPr>
      <w:r>
        <w:rPr>
          <w:b/>
          <w:bCs/>
        </w:rPr>
        <w:t xml:space="preserve">파라소셜 관계(Horton &amp; Wohl 1956): </w:t>
      </w:r>
      <w:r>
        <w:t xml:space="preserve">AI 맥락 연구는 신생. 애착 강도와 리텐션이 비례하지만 위험도 비례.</w:t>
      </w:r>
    </w:p>
    <w:p>
      <w:pPr>
        <w:pStyle w:val="Heading3"/>
      </w:pPr>
      <w:r>
        <w:t xml:space="preserve">인용 주의</w:t>
      </w:r>
    </w:p>
    <w:p>
      <w:pPr>
        <w:pStyle w:val="ListParagraph"/>
        <w:numPr>
          <w:ilvl w:val="0"/>
          <w:numId w:val="2"/>
        </w:numPr>
        <w:spacing w:after="100" w:line="300"/>
      </w:pPr>
      <w:r>
        <w:rPr>
          <w:b/>
          <w:bCs/>
        </w:rPr>
        <w:t xml:space="preserve">Zeigarnik 효과: </w:t>
      </w:r>
      <w:r>
        <w:t xml:space="preserve">2025년 메타분석에서 “미완성 과제의 기억 우위”는 기각, “재개 경향(Ovsiankina 효과)”만 지지 — 이어하기 설계의 근거로는 Ovsiankina를 인용할 것.</w:t>
      </w:r>
    </w:p>
    <w:p>
      <w:pPr>
        <w:pStyle w:val="ListParagraph"/>
        <w:numPr>
          <w:ilvl w:val="0"/>
          <w:numId w:val="2"/>
        </w:numPr>
        <w:spacing w:after="100" w:line="300"/>
      </w:pPr>
      <w:r>
        <w:rPr>
          <w:b/>
          <w:bCs/>
        </w:rPr>
        <w:t xml:space="preserve">Hooked 모델(Nir Eyal)·Fogg 모델: </w:t>
      </w:r>
      <w:r>
        <w:t xml:space="preserve">학술 이론이 아닌 실무 프레임워크. 구조 설명엔 유용하나 근거로 인용하지 말 것.</w:t>
      </w:r>
    </w:p>
    <w:p>
      <w:pPr>
        <w:pStyle w:val="Heading2"/>
      </w:pPr>
      <w:r>
        <w:t xml:space="preserve">2.2 철학적 기반 — AAL의 사상적 척추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226"/>
      </w:tblGrid>
      <w:tr>
        <w:tc>
          <w:tcPr>
            <w:tcW w:type="dxa" w:w="1800"/>
            <w:tcBorders>
              <w:top w:val="single" w:color="CCD6E8" w:sz="1"/>
              <w:left w:val="single" w:color="CCD6E8" w:sz="1"/>
              <w:bottom w:val="single" w:color="CCD6E8" w:sz="1"/>
              <w:right w:val="single" w:color="CCD6E8" w:sz="1"/>
            </w:tcBorders>
            <w:shd w:fill="13203F" w:val="clear"/>
            <w:tcMar>
              <w:top w:type="dxa" w:w="80"/>
              <w:left w:type="dxa" w:w="120"/>
              <w:bottom w:type="dxa" w:w="80"/>
              <w:right w:type="dxa" w:w="120"/>
            </w:tcMar>
          </w:tcPr>
          <w:p>
            <w:pPr>
              <w:spacing w:after="0" w:line="260"/>
            </w:pPr>
            <w:r>
              <w:rPr>
                <w:b/>
                <w:bCs/>
                <w:color w:val="FFFFFF"/>
                <w:sz w:val="19"/>
                <w:szCs w:val="19"/>
              </w:rPr>
              <w:t xml:space="preserve">사상</w:t>
            </w:r>
          </w:p>
        </w:tc>
        <w:tc>
          <w:tcPr>
            <w:tcW w:type="dxa" w:w="4000"/>
            <w:tcBorders>
              <w:top w:val="single" w:color="CCD6E8" w:sz="1"/>
              <w:left w:val="single" w:color="CCD6E8" w:sz="1"/>
              <w:bottom w:val="single" w:color="CCD6E8" w:sz="1"/>
              <w:right w:val="single" w:color="CCD6E8" w:sz="1"/>
            </w:tcBorders>
            <w:shd w:fill="13203F" w:val="clear"/>
            <w:tcMar>
              <w:top w:type="dxa" w:w="80"/>
              <w:left w:type="dxa" w:w="120"/>
              <w:bottom w:type="dxa" w:w="80"/>
              <w:right w:type="dxa" w:w="120"/>
            </w:tcMar>
          </w:tcPr>
          <w:p>
            <w:pPr>
              <w:spacing w:after="0" w:line="260"/>
            </w:pPr>
            <w:r>
              <w:rPr>
                <w:b/>
                <w:bCs/>
                <w:color w:val="FFFFFF"/>
                <w:sz w:val="19"/>
                <w:szCs w:val="19"/>
              </w:rPr>
              <w:t xml:space="preserve">핵심</w:t>
            </w:r>
          </w:p>
        </w:tc>
        <w:tc>
          <w:tcPr>
            <w:tcW w:type="dxa" w:w="3226"/>
            <w:tcBorders>
              <w:top w:val="single" w:color="CCD6E8" w:sz="1"/>
              <w:left w:val="single" w:color="CCD6E8" w:sz="1"/>
              <w:bottom w:val="single" w:color="CCD6E8" w:sz="1"/>
              <w:right w:val="single" w:color="CCD6E8" w:sz="1"/>
            </w:tcBorders>
            <w:shd w:fill="13203F" w:val="clear"/>
            <w:tcMar>
              <w:top w:type="dxa" w:w="80"/>
              <w:left w:type="dxa" w:w="120"/>
              <w:bottom w:type="dxa" w:w="80"/>
              <w:right w:type="dxa" w:w="120"/>
            </w:tcMar>
          </w:tcPr>
          <w:p>
            <w:pPr>
              <w:spacing w:after="0" w:line="260"/>
            </w:pPr>
            <w:r>
              <w:rPr>
                <w:b/>
                <w:bCs/>
                <w:color w:val="FFFFFF"/>
                <w:sz w:val="19"/>
                <w:szCs w:val="19"/>
              </w:rPr>
              <w:t xml:space="preserve">AAL 제품 원칙</w:t>
            </w:r>
          </w:p>
        </w:tc>
      </w:tr>
      <w:tr>
        <w:tc>
          <w:tcPr>
            <w:tcW w:type="dxa" w:w="1800"/>
            <w:tcBorders>
              <w:top w:val="single" w:color="CCD6E8" w:sz="1"/>
              <w:left w:val="single" w:color="CCD6E8" w:sz="1"/>
              <w:bottom w:val="single" w:color="CCD6E8" w:sz="1"/>
              <w:right w:val="single" w:color="CCD6E8" w:sz="1"/>
            </w:tcBorders>
            <w:tcMar>
              <w:top w:type="dxa" w:w="80"/>
              <w:left w:type="dxa" w:w="120"/>
              <w:bottom w:type="dxa" w:w="80"/>
              <w:right w:type="dxa" w:w="120"/>
            </w:tcMar>
          </w:tcPr>
          <w:p>
            <w:pPr>
              <w:spacing w:after="0" w:line="260"/>
            </w:pPr>
            <w:r>
              <w:rPr>
                <w:b/>
                <w:bCs/>
                <w:sz w:val="19"/>
                <w:szCs w:val="19"/>
              </w:rPr>
              <w:t xml:space="preserve">소크라테스 — 산파술·엘렌코스</w:t>
            </w:r>
          </w:p>
        </w:tc>
        <w:tc>
          <w:tcPr>
            <w:tcW w:type="dxa" w:w="4000"/>
            <w:tcBorders>
              <w:top w:val="single" w:color="CCD6E8" w:sz="1"/>
              <w:left w:val="single" w:color="CCD6E8" w:sz="1"/>
              <w:bottom w:val="single" w:color="CCD6E8" w:sz="1"/>
              <w:right w:val="single" w:color="CCD6E8" w:sz="1"/>
            </w:tcBorders>
            <w:tcMar>
              <w:top w:type="dxa" w:w="80"/>
              <w:left w:type="dxa" w:w="120"/>
              <w:bottom w:type="dxa" w:w="80"/>
              <w:right w:type="dxa" w:w="120"/>
            </w:tcMar>
          </w:tcPr>
          <w:p>
            <w:pPr>
              <w:spacing w:after="0" w:line="260"/>
            </w:pPr>
            <w:r>
              <w:rPr>
                <w:b w:val="false"/>
                <w:bCs w:val="false"/>
                <w:sz w:val="19"/>
                <w:szCs w:val="19"/>
              </w:rPr>
              <w:t xml:space="preserve">『테아이테토스』: 산파는 생명을 만들지 않고, 이미 배태된 것이 태어나도록 돕는다. 지식은 주입이 아니라 학습자 안에서 태어난다</w:t>
            </w:r>
          </w:p>
        </w:tc>
        <w:tc>
          <w:tcPr>
            <w:tcW w:type="dxa" w:w="3226"/>
            <w:tcBorders>
              <w:top w:val="single" w:color="CCD6E8" w:sz="1"/>
              <w:left w:val="single" w:color="CCD6E8" w:sz="1"/>
              <w:bottom w:val="single" w:color="CCD6E8" w:sz="1"/>
              <w:right w:val="single" w:color="CCD6E8" w:sz="1"/>
            </w:tcBorders>
            <w:tcMar>
              <w:top w:type="dxa" w:w="80"/>
              <w:left w:type="dxa" w:w="120"/>
              <w:bottom w:type="dxa" w:w="80"/>
              <w:right w:type="dxa" w:w="120"/>
            </w:tcMar>
          </w:tcPr>
          <w:p>
            <w:pPr>
              <w:spacing w:after="0" w:line="260"/>
            </w:pPr>
            <w:r>
              <w:rPr>
                <w:b w:val="false"/>
                <w:bCs w:val="false"/>
                <w:sz w:val="19"/>
                <w:szCs w:val="19"/>
              </w:rPr>
              <w:t xml:space="preserve">AI 튜터는 답변기가 아닌 질문자. “막히지 않게, 답은 주지 않게”의 원전</w:t>
            </w:r>
          </w:p>
        </w:tc>
      </w:tr>
      <w:tr>
        <w:tc>
          <w:tcPr>
            <w:tcW w:type="dxa" w:w="1800"/>
            <w:tcBorders>
              <w:top w:val="single" w:color="CCD6E8" w:sz="1"/>
              <w:left w:val="single" w:color="CCD6E8" w:sz="1"/>
              <w:bottom w:val="single" w:color="CCD6E8" w:sz="1"/>
              <w:right w:val="single" w:color="CCD6E8" w:sz="1"/>
            </w:tcBorders>
            <w:tcMar>
              <w:top w:type="dxa" w:w="80"/>
              <w:left w:type="dxa" w:w="120"/>
              <w:bottom w:type="dxa" w:w="80"/>
              <w:right w:type="dxa" w:w="120"/>
            </w:tcMar>
          </w:tcPr>
          <w:p>
            <w:pPr>
              <w:spacing w:after="0" w:line="260"/>
            </w:pPr>
            <w:r>
              <w:rPr>
                <w:b/>
                <w:bCs/>
                <w:sz w:val="19"/>
                <w:szCs w:val="19"/>
              </w:rPr>
              <w:t xml:space="preserve">아리스토텔레스 — 헥시스(hexis)</w:t>
            </w:r>
          </w:p>
        </w:tc>
        <w:tc>
          <w:tcPr>
            <w:tcW w:type="dxa" w:w="4000"/>
            <w:tcBorders>
              <w:top w:val="single" w:color="CCD6E8" w:sz="1"/>
              <w:left w:val="single" w:color="CCD6E8" w:sz="1"/>
              <w:bottom w:val="single" w:color="CCD6E8" w:sz="1"/>
              <w:right w:val="single" w:color="CCD6E8" w:sz="1"/>
            </w:tcBorders>
            <w:tcMar>
              <w:top w:type="dxa" w:w="80"/>
              <w:left w:type="dxa" w:w="120"/>
              <w:bottom w:type="dxa" w:w="80"/>
              <w:right w:type="dxa" w:w="120"/>
            </w:tcMar>
          </w:tcPr>
          <w:p>
            <w:pPr>
              <w:spacing w:after="0" w:line="260"/>
            </w:pPr>
            <w:r>
              <w:rPr>
                <w:b w:val="false"/>
                <w:bCs w:val="false"/>
                <w:sz w:val="19"/>
                <w:szCs w:val="19"/>
              </w:rPr>
              <w:t xml:space="preserve">『니코마코스 윤리학』 2권: 정의로운 행동을 반복함으로써 정의로운 사람이 된다. 덕은 반복 실천으로 형성되는 안정된 성품</w:t>
            </w:r>
          </w:p>
        </w:tc>
        <w:tc>
          <w:tcPr>
            <w:tcW w:type="dxa" w:w="3226"/>
            <w:tcBorders>
              <w:top w:val="single" w:color="CCD6E8" w:sz="1"/>
              <w:left w:val="single" w:color="CCD6E8" w:sz="1"/>
              <w:bottom w:val="single" w:color="CCD6E8" w:sz="1"/>
              <w:right w:val="single" w:color="CCD6E8" w:sz="1"/>
            </w:tcBorders>
            <w:tcMar>
              <w:top w:type="dxa" w:w="80"/>
              <w:left w:type="dxa" w:w="120"/>
              <w:bottom w:type="dxa" w:w="80"/>
              <w:right w:type="dxa" w:w="120"/>
            </w:tcMar>
          </w:tcPr>
          <w:p>
            <w:pPr>
              <w:spacing w:after="0" w:line="260"/>
            </w:pPr>
            <w:r>
              <w:rPr>
                <w:b w:val="false"/>
                <w:bCs w:val="false"/>
                <w:sz w:val="19"/>
                <w:szCs w:val="19"/>
              </w:rPr>
              <w:t xml:space="preserve">목표는 “앱을 지워도 남는 습관”. 외적 장치 없이 무너지는 습관은 헥시스가 아니라 조건반사</w:t>
            </w:r>
          </w:p>
        </w:tc>
      </w:tr>
      <w:tr>
        <w:tc>
          <w:tcPr>
            <w:tcW w:type="dxa" w:w="1800"/>
            <w:tcBorders>
              <w:top w:val="single" w:color="CCD6E8" w:sz="1"/>
              <w:left w:val="single" w:color="CCD6E8" w:sz="1"/>
              <w:bottom w:val="single" w:color="CCD6E8" w:sz="1"/>
              <w:right w:val="single" w:color="CCD6E8" w:sz="1"/>
            </w:tcBorders>
            <w:tcMar>
              <w:top w:type="dxa" w:w="80"/>
              <w:left w:type="dxa" w:w="120"/>
              <w:bottom w:type="dxa" w:w="80"/>
              <w:right w:type="dxa" w:w="120"/>
            </w:tcMar>
          </w:tcPr>
          <w:p>
            <w:pPr>
              <w:spacing w:after="0" w:line="260"/>
            </w:pPr>
            <w:r>
              <w:rPr>
                <w:b/>
                <w:bCs/>
                <w:sz w:val="19"/>
                <w:szCs w:val="19"/>
              </w:rPr>
              <w:t xml:space="preserve">칸트 — 자율성과 넛지 논쟁</w:t>
            </w:r>
          </w:p>
        </w:tc>
        <w:tc>
          <w:tcPr>
            <w:tcW w:type="dxa" w:w="4000"/>
            <w:tcBorders>
              <w:top w:val="single" w:color="CCD6E8" w:sz="1"/>
              <w:left w:val="single" w:color="CCD6E8" w:sz="1"/>
              <w:bottom w:val="single" w:color="CCD6E8" w:sz="1"/>
              <w:right w:val="single" w:color="CCD6E8" w:sz="1"/>
            </w:tcBorders>
            <w:tcMar>
              <w:top w:type="dxa" w:w="80"/>
              <w:left w:type="dxa" w:w="120"/>
              <w:bottom w:type="dxa" w:w="80"/>
              <w:right w:type="dxa" w:w="120"/>
            </w:tcMar>
          </w:tcPr>
          <w:p>
            <w:pPr>
              <w:spacing w:after="0" w:line="260"/>
            </w:pPr>
            <w:r>
              <w:rPr>
                <w:b w:val="false"/>
                <w:bCs w:val="false"/>
                <w:sz w:val="19"/>
                <w:szCs w:val="19"/>
              </w:rPr>
              <w:t xml:space="preserve">이성적 숙고를 우회하는 은밀한 유도는 조작. 투명한 넛지 + 아동 이익 방향 + 쉬운 거부권이면 정당</w:t>
            </w:r>
          </w:p>
        </w:tc>
        <w:tc>
          <w:tcPr>
            <w:tcW w:type="dxa" w:w="3226"/>
            <w:tcBorders>
              <w:top w:val="single" w:color="CCD6E8" w:sz="1"/>
              <w:left w:val="single" w:color="CCD6E8" w:sz="1"/>
              <w:bottom w:val="single" w:color="CCD6E8" w:sz="1"/>
              <w:right w:val="single" w:color="CCD6E8" w:sz="1"/>
            </w:tcBorders>
            <w:tcMar>
              <w:top w:type="dxa" w:w="80"/>
              <w:left w:type="dxa" w:w="120"/>
              <w:bottom w:type="dxa" w:w="80"/>
              <w:right w:type="dxa" w:w="120"/>
            </w:tcMar>
          </w:tcPr>
          <w:p>
            <w:pPr>
              <w:spacing w:after="0" w:line="260"/>
            </w:pPr>
            <w:r>
              <w:rPr>
                <w:b w:val="false"/>
                <w:bCs w:val="false"/>
                <w:sz w:val="19"/>
                <w:szCs w:val="19"/>
              </w:rPr>
              <w:t xml:space="preserve">모든 넛지는 투명하게, 학습자의 이익 방향으로, 거부 가능하게</w:t>
            </w:r>
          </w:p>
        </w:tc>
      </w:tr>
      <w:tr>
        <w:tc>
          <w:tcPr>
            <w:tcW w:type="dxa" w:w="1800"/>
            <w:tcBorders>
              <w:top w:val="single" w:color="CCD6E8" w:sz="1"/>
              <w:left w:val="single" w:color="CCD6E8" w:sz="1"/>
              <w:bottom w:val="single" w:color="CCD6E8" w:sz="1"/>
              <w:right w:val="single" w:color="CCD6E8" w:sz="1"/>
            </w:tcBorders>
            <w:tcMar>
              <w:top w:type="dxa" w:w="80"/>
              <w:left w:type="dxa" w:w="120"/>
              <w:bottom w:type="dxa" w:w="80"/>
              <w:right w:type="dxa" w:w="120"/>
            </w:tcMar>
          </w:tcPr>
          <w:p>
            <w:pPr>
              <w:spacing w:after="0" w:line="260"/>
            </w:pPr>
            <w:r>
              <w:rPr>
                <w:b/>
                <w:bCs/>
                <w:sz w:val="19"/>
                <w:szCs w:val="19"/>
              </w:rPr>
              <w:t xml:space="preserve">듀이 — 진정한 흥미</w:t>
            </w:r>
          </w:p>
        </w:tc>
        <w:tc>
          <w:tcPr>
            <w:tcW w:type="dxa" w:w="4000"/>
            <w:tcBorders>
              <w:top w:val="single" w:color="CCD6E8" w:sz="1"/>
              <w:left w:val="single" w:color="CCD6E8" w:sz="1"/>
              <w:bottom w:val="single" w:color="CCD6E8" w:sz="1"/>
              <w:right w:val="single" w:color="CCD6E8" w:sz="1"/>
            </w:tcBorders>
            <w:tcMar>
              <w:top w:type="dxa" w:w="80"/>
              <w:left w:type="dxa" w:w="120"/>
              <w:bottom w:type="dxa" w:w="80"/>
              <w:right w:type="dxa" w:w="120"/>
            </w:tcMar>
          </w:tcPr>
          <w:p>
            <w:pPr>
              <w:spacing w:after="0" w:line="260"/>
            </w:pPr>
            <w:r>
              <w:rPr>
                <w:b w:val="false"/>
                <w:bCs w:val="false"/>
                <w:sz w:val="19"/>
                <w:szCs w:val="19"/>
              </w:rPr>
              <w:t xml:space="preserve">『Interest and Effort in Education』(1913): 진정한 흥미는 활동과 자기의 동일시에서 발생. “재미로 포장하기”는 역효과 — 100년 전의 게이미피케이션 비판</w:t>
            </w:r>
          </w:p>
        </w:tc>
        <w:tc>
          <w:tcPr>
            <w:tcW w:type="dxa" w:w="3226"/>
            <w:tcBorders>
              <w:top w:val="single" w:color="CCD6E8" w:sz="1"/>
              <w:left w:val="single" w:color="CCD6E8" w:sz="1"/>
              <w:bottom w:val="single" w:color="CCD6E8" w:sz="1"/>
              <w:right w:val="single" w:color="CCD6E8" w:sz="1"/>
            </w:tcBorders>
            <w:tcMar>
              <w:top w:type="dxa" w:w="80"/>
              <w:left w:type="dxa" w:w="120"/>
              <w:bottom w:type="dxa" w:w="80"/>
              <w:right w:type="dxa" w:w="120"/>
            </w:tcMar>
          </w:tcPr>
          <w:p>
            <w:pPr>
              <w:spacing w:after="0" w:line="260"/>
            </w:pPr>
            <w:r>
              <w:rPr>
                <w:b w:val="false"/>
                <w:bCs w:val="false"/>
                <w:sz w:val="19"/>
                <w:szCs w:val="19"/>
              </w:rPr>
              <w:t xml:space="preserve">재미는 학습 목적에 내재해야 한다. 세계관·보상은 사고 행동과 동일시될 때만 유효</w:t>
            </w:r>
          </w:p>
        </w:tc>
      </w:tr>
      <w:tr>
        <w:tc>
          <w:tcPr>
            <w:tcW w:type="dxa" w:w="1800"/>
            <w:tcBorders>
              <w:top w:val="single" w:color="CCD6E8" w:sz="1"/>
              <w:left w:val="single" w:color="CCD6E8" w:sz="1"/>
              <w:bottom w:val="single" w:color="CCD6E8" w:sz="1"/>
              <w:right w:val="single" w:color="CCD6E8" w:sz="1"/>
            </w:tcBorders>
            <w:tcMar>
              <w:top w:type="dxa" w:w="80"/>
              <w:left w:type="dxa" w:w="120"/>
              <w:bottom w:type="dxa" w:w="80"/>
              <w:right w:type="dxa" w:w="120"/>
            </w:tcMar>
          </w:tcPr>
          <w:p>
            <w:pPr>
              <w:spacing w:after="0" w:line="260"/>
            </w:pPr>
            <w:r>
              <w:rPr>
                <w:b/>
                <w:bCs/>
                <w:sz w:val="19"/>
                <w:szCs w:val="19"/>
              </w:rPr>
              <w:t xml:space="preserve">비고츠키 — ZPD·스캐폴딩</w:t>
            </w:r>
          </w:p>
        </w:tc>
        <w:tc>
          <w:tcPr>
            <w:tcW w:type="dxa" w:w="4000"/>
            <w:tcBorders>
              <w:top w:val="single" w:color="CCD6E8" w:sz="1"/>
              <w:left w:val="single" w:color="CCD6E8" w:sz="1"/>
              <w:bottom w:val="single" w:color="CCD6E8" w:sz="1"/>
              <w:right w:val="single" w:color="CCD6E8" w:sz="1"/>
            </w:tcBorders>
            <w:tcMar>
              <w:top w:type="dxa" w:w="80"/>
              <w:left w:type="dxa" w:w="120"/>
              <w:bottom w:type="dxa" w:w="80"/>
              <w:right w:type="dxa" w:w="120"/>
            </w:tcMar>
          </w:tcPr>
          <w:p>
            <w:pPr>
              <w:spacing w:after="0" w:line="260"/>
            </w:pPr>
            <w:r>
              <w:rPr>
                <w:b w:val="false"/>
                <w:bCs w:val="false"/>
                <w:sz w:val="19"/>
                <w:szCs w:val="19"/>
              </w:rPr>
              <w:t xml:space="preserve">혼자서는 못 하지만 도움으로 해낼 수 있는 영역에서 학습이 최적화. 지원은 점진적으로 제거(fading)</w:t>
            </w:r>
          </w:p>
        </w:tc>
        <w:tc>
          <w:tcPr>
            <w:tcW w:type="dxa" w:w="3226"/>
            <w:tcBorders>
              <w:top w:val="single" w:color="CCD6E8" w:sz="1"/>
              <w:left w:val="single" w:color="CCD6E8" w:sz="1"/>
              <w:bottom w:val="single" w:color="CCD6E8" w:sz="1"/>
              <w:right w:val="single" w:color="CCD6E8" w:sz="1"/>
            </w:tcBorders>
            <w:tcMar>
              <w:top w:type="dxa" w:w="80"/>
              <w:left w:type="dxa" w:w="120"/>
              <w:bottom w:type="dxa" w:w="80"/>
              <w:right w:type="dxa" w:w="120"/>
            </w:tcMar>
          </w:tcPr>
          <w:p>
            <w:pPr>
              <w:spacing w:after="0" w:line="260"/>
            </w:pPr>
            <w:r>
              <w:rPr>
                <w:b w:val="false"/>
                <w:bCs w:val="false"/>
                <w:sz w:val="19"/>
                <w:szCs w:val="19"/>
              </w:rPr>
              <w:t xml:space="preserve">정체 감지 → 비계 노출 → 스스로 도달, 성장할수록 비계를 걷어내는 설계</w:t>
            </w:r>
          </w:p>
        </w:tc>
      </w:tr>
    </w:tbl>
    <w:p>
      <w:pPr>
        <w:spacing w:after="160"/>
      </w:pPr>
    </w:p>
    <w:p>
      <w:pPr>
        <w:pBdr>
          <w:left w:val="single" w:color="A97B15" w:sz="12" w:space="8"/>
        </w:pBdr>
        <w:spacing w:after="200" w:before="120" w:line="300"/>
        <w:ind w:left="360" w:right="360"/>
      </w:pPr>
      <w:r>
        <w:rPr>
          <w:b/>
          <w:bCs/>
          <w:i/>
          <w:iCs/>
          <w:color w:val="13203F"/>
        </w:rPr>
        <w:t xml:space="preserve">“좋은 교육 제품은 학습자를 붙잡아두는 것이 아니라, 스스로 서게 만드는 과정에서 자연히 돌아오게 만든다” — 이것이 참여를 위한 설계(‘뇌간 바닥으로의 경쟁’)와 성장을 위한 설계를 가르는 기준이다.</w:t>
      </w:r>
    </w:p>
    <w:p>
      <w:r>
        <w:br w:type="page"/>
      </w:r>
    </w:p>
    <w:p>
      <w:pPr>
        <w:pStyle w:val="Heading1"/>
      </w:pPr>
      <w:r>
        <w:t xml:space="preserve">3. AAL 심리 UX 방법론: LUMEN 프레임워크</w:t>
      </w:r>
    </w:p>
    <w:p>
      <w:pPr>
        <w:spacing w:after="160" w:line="300"/>
      </w:pPr>
      <w:r>
        <w:t xml:space="preserve">시장 통찰과 이론적 기반을 AAL 세계관(Lumen Atlas)과 정렬한 5원칙. 각 원칙은 [심리 근거] × [시장 검증] × [철학 기반]의 3중 지지를 갖는다.</w:t>
      </w:r>
    </w:p>
    <w:p>
      <w:pPr>
        <w:pStyle w:val="Heading2"/>
      </w:pPr>
      <w:r>
        <w:t xml:space="preserve">L — Loop of Habit (습관의 뼈대를 세워라)</w:t>
      </w:r>
    </w:p>
    <w:p>
      <w:pPr>
        <w:pStyle w:val="ListParagraph"/>
        <w:numPr>
          <w:ilvl w:val="0"/>
          <w:numId w:val="2"/>
        </w:numPr>
        <w:spacing w:after="100" w:line="300"/>
      </w:pPr>
      <w:r>
        <w:rPr>
          <w:b/>
          <w:bCs/>
        </w:rPr>
        <w:t xml:space="preserve">근거: </w:t>
      </w:r>
      <w:r>
        <w:t xml:space="preserve">습관 과학(Lally, Wood &amp; Neal, Fogg) / Duolingo CURR·Forest / 아리스토텔레스 hexis</w:t>
      </w:r>
    </w:p>
    <w:p>
      <w:pPr>
        <w:pStyle w:val="ListParagraph"/>
        <w:numPr>
          <w:ilvl w:val="0"/>
          <w:numId w:val="2"/>
        </w:numPr>
        <w:spacing w:after="100" w:line="300"/>
      </w:pPr>
      <w:r>
        <w:rPr>
          <w:b/>
          <w:bCs/>
        </w:rPr>
        <w:t xml:space="preserve">원칙: </w:t>
      </w:r>
      <w:r>
        <w:t xml:space="preserve">매일 같은 시간·같은 맥락의 최소 행동 단위(15분 세션)로 자동성을 만든다. 스트릭은 도입하되 반드시 용서 장치(쉬어가기)와 세트로 — 습관 과학상 하루 결석은 치명적이지 않으며, EU DSA 가이드라인도 스트릭 기본 off를 권고한다.</w:t>
      </w:r>
    </w:p>
    <w:p>
      <w:pPr>
        <w:pStyle w:val="ListParagraph"/>
        <w:numPr>
          <w:ilvl w:val="0"/>
          <w:numId w:val="2"/>
        </w:numPr>
        <w:spacing w:after="100" w:line="300"/>
      </w:pPr>
      <w:r>
        <w:rPr>
          <w:b/>
          <w:bCs/>
        </w:rPr>
        <w:t xml:space="preserve">AAL 번역: </w:t>
      </w:r>
      <w:r>
        <w:t xml:space="preserve">“탐험 연속 일수”는 잃는 것이 아니라 쌓이는 것으로 프레임. 결석 시 리셋 대신 “등불이 잠시 흐려짐 → 돌아오면 다시 밝아짐”. 학습 시간대를 온보딩에서 학생이 스스로 선택하고 그 시간에만 리마인더.</w:t>
      </w:r>
    </w:p>
    <w:p>
      <w:pPr>
        <w:pStyle w:val="Heading2"/>
      </w:pPr>
      <w:r>
        <w:t xml:space="preserve">U — Uncover, don't Tell (답을 주지 말고 꺼내게 하라)</w:t>
      </w:r>
    </w:p>
    <w:p>
      <w:pPr>
        <w:pStyle w:val="ListParagraph"/>
        <w:numPr>
          <w:ilvl w:val="0"/>
          <w:numId w:val="2"/>
        </w:numPr>
        <w:spacing w:after="100" w:line="300"/>
      </w:pPr>
      <w:r>
        <w:rPr>
          <w:b/>
          <w:bCs/>
        </w:rPr>
        <w:t xml:space="preserve">근거: </w:t>
      </w:r>
      <w:r>
        <w:t xml:space="preserve">생산적 실패(Kapur 메타분석)·바람직한 어려움(Bjork)·ZPD / Khanmigo의 반면교사 / 소크라테스 산파술</w:t>
      </w:r>
    </w:p>
    <w:p>
      <w:pPr>
        <w:pStyle w:val="ListParagraph"/>
        <w:numPr>
          <w:ilvl w:val="0"/>
          <w:numId w:val="2"/>
        </w:numPr>
        <w:spacing w:after="100" w:line="300"/>
      </w:pPr>
      <w:r>
        <w:rPr>
          <w:b/>
          <w:bCs/>
        </w:rPr>
        <w:t xml:space="preserve">원칙: </w:t>
      </w:r>
      <w:r>
        <w:t xml:space="preserve">정답 제공을 의도적으로 지연하고, 정체가 감지되면 비계를 단계적으로 노출한다. 핵심은 좌절과 몰입의 경계 관리 — 어려움은 바람직하지만 사전 지식이 부족한 학습자에게는 독이 된다(Bjork의 경계 조건). Flow의 도전-기술 균형을 실시간 조정.</w:t>
      </w:r>
    </w:p>
    <w:p>
      <w:pPr>
        <w:pStyle w:val="ListParagraph"/>
        <w:numPr>
          <w:ilvl w:val="0"/>
          <w:numId w:val="2"/>
        </w:numPr>
        <w:spacing w:after="100" w:line="300"/>
      </w:pPr>
      <w:r>
        <w:rPr>
          <w:b/>
          <w:bCs/>
        </w:rPr>
        <w:t xml:space="preserve">AAL 번역: </w:t>
      </w:r>
      <w:r>
        <w:t xml:space="preserve">힌트 3단계(방향 질문 → 관점 제시 → 부분 비계), “먼저 30초 생각하기” 타이머, 스스로 도달했을 때 최대 보상. 좌절 신호 감지 시 페르소나가 난이도를 한 단계 내리는 안전망.</w:t>
      </w:r>
    </w:p>
    <w:p>
      <w:pPr>
        <w:pStyle w:val="Heading2"/>
      </w:pPr>
      <w:r>
        <w:t xml:space="preserve">M — Mirror of Growth (성장을 거울처럼 비춰라)</w:t>
      </w:r>
    </w:p>
    <w:p>
      <w:pPr>
        <w:pStyle w:val="ListParagraph"/>
        <w:numPr>
          <w:ilvl w:val="0"/>
          <w:numId w:val="2"/>
        </w:numPr>
        <w:spacing w:after="100" w:line="300"/>
      </w:pPr>
      <w:r>
        <w:rPr>
          <w:b/>
          <w:bCs/>
        </w:rPr>
        <w:t xml:space="preserve">근거: </w:t>
      </w:r>
      <w:r>
        <w:t xml:space="preserve">SDT 유능감·목표구배·정보적 피드백(과잉정당화 회피) / Apple 링·NRC 정체성 배지·Wrapped / 듀이의 성찰</w:t>
      </w:r>
    </w:p>
    <w:p>
      <w:pPr>
        <w:pStyle w:val="ListParagraph"/>
        <w:numPr>
          <w:ilvl w:val="0"/>
          <w:numId w:val="2"/>
        </w:numPr>
        <w:spacing w:after="100" w:line="300"/>
      </w:pPr>
      <w:r>
        <w:rPr>
          <w:b/>
          <w:bCs/>
        </w:rPr>
        <w:t xml:space="preserve">원칙: </w:t>
      </w:r>
      <w:r>
        <w:t xml:space="preserve">보상은 사고 행동의 정보적 피드백이어야 하며(근거 대기·텍스트 복귀·사실/의견 구분 등 관찰된 행동에 연동), 포인트 그 자체가 목적이 되면 안 된다(Todoist Karma의 실패). 경쟁 비교가 아닌 자기 대비(과거의 나)를 기본값으로.</w:t>
      </w:r>
    </w:p>
    <w:p>
      <w:pPr>
        <w:pStyle w:val="ListParagraph"/>
        <w:numPr>
          <w:ilvl w:val="0"/>
          <w:numId w:val="2"/>
        </w:numPr>
        <w:spacing w:after="100" w:line="300"/>
      </w:pPr>
      <w:r>
        <w:rPr>
          <w:b/>
          <w:bCs/>
        </w:rPr>
        <w:t xml:space="preserve">AAL 번역: </w:t>
      </w:r>
      <w:r>
        <w:t xml:space="preserve">기존 “밝아지는 Atlas” 설계가 정확히 이 원칙 위에 있다. 강화 포인트 — (1) 세션 종료 시 구체 델타(“지난번 근거 1개 → 오늘 3개”), (2) 첫 세션 성취 1개 보장(NRC +64% 근거), (3) 월간 “항해일지” 성장 서사 결산(실제 3축 성장 데이터와 연동), (4) 진행 링의 목표구배 활용은 세션 내에서만.</w:t>
      </w:r>
    </w:p>
    <w:p>
      <w:pPr>
        <w:pStyle w:val="Heading2"/>
      </w:pPr>
      <w:r>
        <w:t xml:space="preserve">E — Empathic, but Bounded (따뜻하되 경계 있는 관계)</w:t>
      </w:r>
    </w:p>
    <w:p>
      <w:pPr>
        <w:pStyle w:val="ListParagraph"/>
        <w:numPr>
          <w:ilvl w:val="0"/>
          <w:numId w:val="2"/>
        </w:numPr>
        <w:spacing w:after="100" w:line="300"/>
      </w:pPr>
      <w:r>
        <w:rPr>
          <w:b/>
          <w:bCs/>
        </w:rPr>
        <w:t xml:space="preserve">근거: </w:t>
      </w:r>
      <w:r>
        <w:t xml:space="preserve">파라소셜 관계 연구·SDT 관계성 / Character.AI 소송·Common Sense Media 판정 / 칸트적 투명성</w:t>
      </w:r>
    </w:p>
    <w:p>
      <w:pPr>
        <w:pStyle w:val="ListParagraph"/>
        <w:numPr>
          <w:ilvl w:val="0"/>
          <w:numId w:val="2"/>
        </w:numPr>
        <w:spacing w:after="100" w:line="300"/>
      </w:pPr>
      <w:r>
        <w:rPr>
          <w:b/>
          <w:bCs/>
        </w:rPr>
        <w:t xml:space="preserve">원칙: </w:t>
      </w:r>
      <w:r>
        <w:t xml:space="preserve">페르소나 애착은 강력한 리텐션 엔진이지만 11~15세에게는 정서 의존 리스크와 직결된다. 페르소나는 “나를 기억하는 학습 조력자”까지, “친구·연인 모방”은 금지. 감정 조종형 재참여 훅(작별 시 붙잡기, 죄책감 유발)은 설계 단계에서 배제.</w:t>
      </w:r>
    </w:p>
    <w:p>
      <w:pPr>
        <w:pStyle w:val="ListParagraph"/>
        <w:numPr>
          <w:ilvl w:val="0"/>
          <w:numId w:val="2"/>
        </w:numPr>
        <w:spacing w:after="100" w:line="300"/>
      </w:pPr>
      <w:r>
        <w:rPr>
          <w:b/>
          <w:bCs/>
        </w:rPr>
        <w:t xml:space="preserve">AAL 번역: </w:t>
      </w:r>
      <w:r>
        <w:t xml:space="preserve">페르소나가 기억하는 것은 감정적 신상이 아니라 사고의 여정(“지난주에 네가 스스로 찾아낸 그 논리, 오늘 지문에도 통할까?”). AI임을 지속 명시, 정서 위기 신호 감지 시 인간 연결 프로토콜, 알림은 감정 호소가 아닌 학습 맥락 리마인더로.</w:t>
      </w:r>
    </w:p>
    <w:p>
      <w:pPr>
        <w:pStyle w:val="Heading2"/>
      </w:pPr>
      <w:r>
        <w:t xml:space="preserve">N — Nurture Autonomy (자율을 길러 졸업시켜라)</w:t>
      </w:r>
    </w:p>
    <w:p>
      <w:pPr>
        <w:pStyle w:val="ListParagraph"/>
        <w:numPr>
          <w:ilvl w:val="0"/>
          <w:numId w:val="2"/>
        </w:numPr>
        <w:spacing w:after="100" w:line="300"/>
      </w:pPr>
      <w:r>
        <w:rPr>
          <w:b/>
          <w:bCs/>
        </w:rPr>
        <w:t xml:space="preserve">근거: </w:t>
      </w:r>
      <w:r>
        <w:t xml:space="preserve">SDT 자율성(지속성과 최강 상관)·과잉정당화 회피 / ChatGPT의 유틸리티 습관 모델 / 칸트·아리스토텔레스 hexis·비고츠키 fading</w:t>
      </w:r>
    </w:p>
    <w:p>
      <w:pPr>
        <w:pStyle w:val="ListParagraph"/>
        <w:numPr>
          <w:ilvl w:val="0"/>
          <w:numId w:val="2"/>
        </w:numPr>
        <w:spacing w:after="100" w:line="300"/>
      </w:pPr>
      <w:r>
        <w:rPr>
          <w:b/>
          <w:bCs/>
        </w:rPr>
        <w:t xml:space="preserve">원칙: </w:t>
      </w:r>
      <w:r>
        <w:t xml:space="preserve">선택권(페르소나·진행 속도·학습 시간대)을 학습자에게 주고, 성장할수록 비계와 외적 장치를 점진적으로 걷어낸다. 궁극 지표는 “앱 없이도 유지되는 문해 습관” — 졸업 테스트.</w:t>
      </w:r>
    </w:p>
    <w:p>
      <w:pPr>
        <w:pStyle w:val="ListParagraph"/>
        <w:numPr>
          <w:ilvl w:val="0"/>
          <w:numId w:val="2"/>
        </w:numPr>
        <w:spacing w:after="100" w:line="300"/>
      </w:pPr>
      <w:r>
        <w:rPr>
          <w:b/>
          <w:bCs/>
        </w:rPr>
        <w:t xml:space="preserve">AAL 번역: </w:t>
      </w:r>
      <w:r>
        <w:t xml:space="preserve">레벨이 오를수록 힌트 기본 노출 감소·자기 설명 요구 증가, 보상 프레임을 외적(Lumen)에서 내적(스스로 세운 목표)으로 점진 이동, 분기별 “혼자 읽기 챌린지”(무비계 세션). 학부모 리포트에 “자기주도 지표”(힌트 없이 도달한 비율) 포함 — AAL만의 차별적 신뢰 자산.</w:t>
      </w:r>
    </w:p>
    <w:p>
      <w:pPr>
        <w:pStyle w:val="Heading2"/>
      </w:pPr>
      <w:r>
        <w:t xml:space="preserve">윤리 가드레일 (전 원칙 공통)</w:t>
      </w:r>
    </w:p>
    <w:p>
      <w:pPr>
        <w:spacing w:after="160" w:line="300"/>
      </w:pPr>
      <w:r>
        <w:t xml:space="preserve">2025~2026 규제 환경은 참여 최적화 설계를 직접 겨냥한다: EU DSA 미성년자 가이드라인(스트릭·야간 알림·자동재생 기본 off, 2025.7), 영국 아동 코드(넛지의 방향 심사), 미국 KIDS Act 하원 통과(2026.6), 한국 다크패턴 규제 시행(2025.2)·수업 중 스마트폰 금지(2026.3). AAL 체크리스트:</w:t>
      </w:r>
    </w:p>
    <w:p>
      <w:pPr>
        <w:pStyle w:val="ListParagraph"/>
        <w:numPr>
          <w:ilvl w:val="0"/>
          <w:numId w:val="2"/>
        </w:numPr>
        <w:spacing w:after="100" w:line="300"/>
      </w:pPr>
      <w:r>
        <w:t xml:space="preserve">야간(수면시간) 푸시 전면 차단, 알림 기본값 최소</w:t>
      </w:r>
    </w:p>
    <w:p>
      <w:pPr>
        <w:pStyle w:val="ListParagraph"/>
        <w:numPr>
          <w:ilvl w:val="0"/>
          <w:numId w:val="2"/>
        </w:numPr>
        <w:spacing w:after="100" w:line="300"/>
      </w:pPr>
      <w:r>
        <w:t xml:space="preserve">인위적 긴급성·FOMO 문구 금지, 종료 지점이 있는 세션 설계(무한 콘텐츠 금지)</w:t>
      </w:r>
    </w:p>
    <w:p>
      <w:pPr>
        <w:pStyle w:val="ListParagraph"/>
        <w:numPr>
          <w:ilvl w:val="0"/>
          <w:numId w:val="2"/>
        </w:numPr>
        <w:spacing w:after="100" w:line="300"/>
      </w:pPr>
      <w:r>
        <w:t xml:space="preserve">리더보드 파일럿 기본 OFF 유지(기존 결정 타당 — 도입 시 “비슷한 수준끼리” + 협력형)</w:t>
      </w:r>
    </w:p>
    <w:p>
      <w:pPr>
        <w:pStyle w:val="ListParagraph"/>
        <w:numPr>
          <w:ilvl w:val="0"/>
          <w:numId w:val="2"/>
        </w:numPr>
        <w:spacing w:after="100" w:line="300"/>
      </w:pPr>
      <w:r>
        <w:t xml:space="preserve">보상은 참여 조건부가 아닌 사고 행동 연동(기존 Pointsification 금지 원칙 타당)</w:t>
      </w:r>
    </w:p>
    <w:p>
      <w:pPr>
        <w:pStyle w:val="ListParagraph"/>
        <w:numPr>
          <w:ilvl w:val="0"/>
          <w:numId w:val="2"/>
        </w:numPr>
        <w:spacing w:after="100" w:line="300"/>
      </w:pPr>
      <w:r>
        <w:t xml:space="preserve">북극성 지표를 체류시간이 아닌 학습 성과·자기주도 지표로 정의</w:t>
      </w:r>
    </w:p>
    <w:p>
      <w:pPr>
        <w:pStyle w:val="ListParagraph"/>
        <w:numPr>
          <w:ilvl w:val="0"/>
          <w:numId w:val="2"/>
        </w:numPr>
        <w:spacing w:after="100" w:line="300"/>
      </w:pPr>
      <w:r>
        <w:t xml:space="preserve">아동영향평가(DPIA)를 파일럿 전 수행</w:t>
      </w:r>
    </w:p>
    <w:p>
      <w:r>
        <w:br w:type="page"/>
      </w:r>
    </w:p>
    <w:p>
      <w:pPr>
        <w:pStyle w:val="Heading1"/>
      </w:pPr>
      <w:r>
        <w:t xml:space="preserve">4. AAL 적용안: 화면·기능 단위 구체화</w:t>
      </w:r>
    </w:p>
    <w:p>
      <w:pPr>
        <w:pStyle w:val="Heading2"/>
      </w:pPr>
      <w:r>
        <w:t xml:space="preserve">4.1 기존 설계와의 정합성 검증</w:t>
      </w:r>
    </w:p>
    <w:p>
      <w:pPr>
        <w:spacing w:after="160" w:line="300"/>
      </w:pPr>
      <w:r>
        <w:t xml:space="preserve">기존 UX 브리프·보상 설계는 LUMEN과 높은 정합성을 보인다. “막히지 않게, 답은 주지 않게”(=U), “성장이 보이게”(=M), “자율성”(=N), “Pointsification 금지·사고 행동 연동 보상”(=M), “랭킹 기본 OFF”(=E 가드레일). </w:t>
      </w:r>
      <w:r>
        <w:rPr>
          <w:b/>
          <w:bCs/>
        </w:rPr>
        <w:t xml:space="preserve">본 방법론은 기존 설계의 사후 정당화가 아니라, 각 결정에 학술·시장 근거를 부여하고 빈 곳을 채우는 작업이다.</w:t>
      </w:r>
    </w:p>
    <w:p>
      <w:pPr>
        <w:pStyle w:val="Heading2"/>
      </w:pPr>
      <w:r>
        <w:t xml:space="preserve">4.2 신규·강화 제안 (우선순위순)</w:t>
      </w:r>
    </w:p>
    <w:p>
      <w:pPr>
        <w:pStyle w:val="Heading3"/>
      </w:pPr>
      <w:r>
        <w:t xml:space="preserve">P0 — 파일럿 필수 (Q4 전 반영)</w:t>
      </w:r>
    </w:p>
    <w:p>
      <w:pPr>
        <w:pStyle w:val="ListParagraph"/>
        <w:numPr>
          <w:ilvl w:val="0"/>
          <w:numId w:val="4"/>
        </w:numPr>
        <w:spacing w:after="100" w:line="300"/>
      </w:pPr>
      <w:r>
        <w:rPr>
          <w:b/>
          <w:bCs/>
        </w:rPr>
        <w:t xml:space="preserve">첫 세션 성취 보장 온보딩 [M] </w:t>
      </w:r>
      <w:r>
        <w:t xml:space="preserve">— 첫 세션 난이도를 보정해 반드시 “스스로 찾아낸 순간” 1회를 경험시키고 즉시 가시화. 근거: NRC 첫날 성취 +64%, IKEA 효과의 “성공 완료 조건”.</w:t>
      </w:r>
    </w:p>
    <w:p>
      <w:pPr>
        <w:pStyle w:val="ListParagraph"/>
        <w:numPr>
          <w:ilvl w:val="0"/>
          <w:numId w:val="4"/>
        </w:numPr>
        <w:spacing w:after="100" w:line="300"/>
      </w:pPr>
      <w:r>
        <w:rPr>
          <w:b/>
          <w:bCs/>
        </w:rPr>
        <w:t xml:space="preserve">힌트 3단계 + 좌절 안전망 [U] </w:t>
      </w:r>
      <w:r>
        <w:t xml:space="preserve">— 방향 질문→관점→부분 비계. 연속 오답·응답 지연 감지 시 페르소나가 격려+난이도 조정. 근거: 생산적 실패 메타분석 + Bjork 경계 조건 + 완료율 KPI①.</w:t>
      </w:r>
    </w:p>
    <w:p>
      <w:pPr>
        <w:pStyle w:val="ListParagraph"/>
        <w:numPr>
          <w:ilvl w:val="0"/>
          <w:numId w:val="4"/>
        </w:numPr>
        <w:spacing w:after="100" w:line="300"/>
      </w:pPr>
      <w:r>
        <w:rPr>
          <w:b/>
          <w:bCs/>
        </w:rPr>
        <w:t xml:space="preserve">사고 여정 메모리 [E/M] </w:t>
      </w:r>
      <w:r>
        <w:t xml:space="preserve">— 페르소나가 이전 세션의 사고 행동을 기억하고 다음 세션 도입부에 연결. 근거: ChatGPT 메모리 락인, 파라소셜의 안전한 대체물. 페르소나 반응 KPI②와 직결.</w:t>
      </w:r>
    </w:p>
    <w:p>
      <w:pPr>
        <w:pStyle w:val="ListParagraph"/>
        <w:numPr>
          <w:ilvl w:val="0"/>
          <w:numId w:val="4"/>
        </w:numPr>
        <w:spacing w:after="100" w:line="300"/>
      </w:pPr>
      <w:r>
        <w:rPr>
          <w:b/>
          <w:bCs/>
        </w:rPr>
        <w:t xml:space="preserve">세션 델타 카드 [M] </w:t>
      </w:r>
      <w:r>
        <w:t xml:space="preserve">— 종료 화면에 “지난번 근거 1개 → 오늘 3개” 구체 델타 + Lumen 보상. 근거: SDT 유능감·정보적 피드백.</w:t>
      </w:r>
    </w:p>
    <w:p>
      <w:pPr>
        <w:pStyle w:val="ListParagraph"/>
        <w:numPr>
          <w:ilvl w:val="0"/>
          <w:numId w:val="4"/>
        </w:numPr>
        <w:spacing w:after="100" w:line="300"/>
      </w:pPr>
      <w:r>
        <w:rPr>
          <w:b/>
          <w:bCs/>
        </w:rPr>
        <w:t xml:space="preserve">스트릭 재정의: 등불 모델 [L] </w:t>
      </w:r>
      <w:r>
        <w:t xml:space="preserve">— 리셋되는 스트릭 대신 “흐려졌다 다시 밝아지는 등불”. 쉬어가기 기본 제공. 근거: 습관 과학 + EU DSA 정합.</w:t>
      </w:r>
    </w:p>
    <w:p>
      <w:pPr>
        <w:pStyle w:val="Heading3"/>
      </w:pPr>
      <w:r>
        <w:t xml:space="preserve">P1 — 파일럿 중 실험</w:t>
      </w:r>
    </w:p>
    <w:p>
      <w:pPr>
        <w:pStyle w:val="ListParagraph"/>
        <w:numPr>
          <w:ilvl w:val="0"/>
          <w:numId w:val="5"/>
        </w:numPr>
        <w:spacing w:after="100" w:line="300"/>
      </w:pPr>
      <w:r>
        <w:rPr>
          <w:b/>
          <w:bCs/>
        </w:rPr>
        <w:t xml:space="preserve">주간 항해일지 (성장 서사 결산) [M] </w:t>
      </w:r>
      <w:r>
        <w:t xml:space="preserve">— 매주 3축 성장을 이야기로 엮은 카드. 학생용(정체성)과 학부모용(KPI③) 이원화. 근거: Wrapped 자기서사 + Todoist 교훈(실제 성과 연동 필수).</w:t>
      </w:r>
    </w:p>
    <w:p>
      <w:pPr>
        <w:pStyle w:val="ListParagraph"/>
        <w:numPr>
          <w:ilvl w:val="0"/>
          <w:numId w:val="5"/>
        </w:numPr>
        <w:spacing w:after="100" w:line="300"/>
      </w:pPr>
      <w:r>
        <w:rPr>
          <w:b/>
          <w:bCs/>
        </w:rPr>
        <w:t xml:space="preserve">관계에 묶인 학습 - 소프트 소셜 [L/E] </w:t>
      </w:r>
      <w:r>
        <w:t xml:space="preserve">— 랭킹 없이, 같은 지문을 읽은 또래의 익명화된 생각 1개를 세션 후 노출(“다른 탐험가는 이렇게 읽었어”). 근거: Strava 관계 효과 + Insight Timer 2배 리텐션, 경쟁 불안 회피.</w:t>
      </w:r>
    </w:p>
    <w:p>
      <w:pPr>
        <w:pStyle w:val="ListParagraph"/>
        <w:numPr>
          <w:ilvl w:val="0"/>
          <w:numId w:val="5"/>
        </w:numPr>
        <w:spacing w:after="100" w:line="300"/>
      </w:pPr>
      <w:r>
        <w:rPr>
          <w:b/>
          <w:bCs/>
        </w:rPr>
        <w:t xml:space="preserve">학습 시간대 자기 선택 + 맥락 리마인더 [L/N] </w:t>
      </w:r>
      <w:r>
        <w:t xml:space="preserve">— 온보딩에서 학생이 시간을 정하고, 그 시간에만 알림. 근거: 습관 앵커링 RCT(JMIR), 칸트적 투명 넛지.</w:t>
      </w:r>
    </w:p>
    <w:p>
      <w:pPr>
        <w:pStyle w:val="Heading3"/>
      </w:pPr>
      <w:r>
        <w:t xml:space="preserve">P2 — 확장 로드맵</w:t>
      </w:r>
    </w:p>
    <w:p>
      <w:pPr>
        <w:pStyle w:val="ListParagraph"/>
        <w:numPr>
          <w:ilvl w:val="0"/>
          <w:numId w:val="2"/>
        </w:numPr>
        <w:spacing w:after="100" w:line="300"/>
      </w:pPr>
      <w:r>
        <w:rPr>
          <w:b/>
          <w:bCs/>
        </w:rPr>
        <w:t xml:space="preserve">자율성 이양 커브 [N] </w:t>
      </w:r>
      <w:r>
        <w:t xml:space="preserve">— 레벨 상승에 따른 힌트 기본값 감소, 자기 설명 요구 증가, 무비계 챌린지. “자기주도 지표”를 학부모 리포트의 헤드라인으로.</w:t>
      </w:r>
    </w:p>
    <w:p>
      <w:pPr>
        <w:pStyle w:val="ListParagraph"/>
        <w:numPr>
          <w:ilvl w:val="0"/>
          <w:numId w:val="2"/>
        </w:numPr>
        <w:spacing w:after="100" w:line="300"/>
      </w:pPr>
      <w:r>
        <w:rPr>
          <w:b/>
          <w:bCs/>
        </w:rPr>
        <w:t xml:space="preserve">연간 성장 결산 + 실물 의미 부여 [M/L] </w:t>
      </w:r>
      <w:r>
        <w:t xml:space="preserve">— 연말 “내 Atlas의 1년” + 누적 Lumen의 실물 전환(도서 기부 등, Forest 나무 심기 모델). 근거: 자기초월적 의미 부여.</w:t>
      </w:r>
    </w:p>
    <w:p>
      <w:pPr>
        <w:pStyle w:val="Heading2"/>
      </w:pPr>
      <w:r>
        <w:t xml:space="preserve">4.3 파일럿 4대 KPI와의 매핑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3926"/>
      </w:tblGrid>
      <w:tr>
        <w:tc>
          <w:tcPr>
            <w:tcW w:type="dxa" w:w="1700"/>
            <w:tcBorders>
              <w:top w:val="single" w:color="CCD6E8" w:sz="1"/>
              <w:left w:val="single" w:color="CCD6E8" w:sz="1"/>
              <w:bottom w:val="single" w:color="CCD6E8" w:sz="1"/>
              <w:right w:val="single" w:color="CCD6E8" w:sz="1"/>
            </w:tcBorders>
            <w:shd w:fill="13203F" w:val="clear"/>
            <w:tcMar>
              <w:top w:type="dxa" w:w="80"/>
              <w:left w:type="dxa" w:w="120"/>
              <w:bottom w:type="dxa" w:w="80"/>
              <w:right w:type="dxa" w:w="120"/>
            </w:tcMar>
          </w:tcPr>
          <w:p>
            <w:pPr>
              <w:spacing w:after="0" w:line="260"/>
            </w:pPr>
            <w:r>
              <w:rPr>
                <w:b/>
                <w:bCs/>
                <w:color w:val="FFFFFF"/>
                <w:sz w:val="19"/>
                <w:szCs w:val="19"/>
              </w:rPr>
              <w:t xml:space="preserve">KPI</w:t>
            </w:r>
          </w:p>
        </w:tc>
        <w:tc>
          <w:tcPr>
            <w:tcW w:type="dxa" w:w="3400"/>
            <w:tcBorders>
              <w:top w:val="single" w:color="CCD6E8" w:sz="1"/>
              <w:left w:val="single" w:color="CCD6E8" w:sz="1"/>
              <w:bottom w:val="single" w:color="CCD6E8" w:sz="1"/>
              <w:right w:val="single" w:color="CCD6E8" w:sz="1"/>
            </w:tcBorders>
            <w:shd w:fill="13203F" w:val="clear"/>
            <w:tcMar>
              <w:top w:type="dxa" w:w="80"/>
              <w:left w:type="dxa" w:w="120"/>
              <w:bottom w:type="dxa" w:w="80"/>
              <w:right w:type="dxa" w:w="120"/>
            </w:tcMar>
          </w:tcPr>
          <w:p>
            <w:pPr>
              <w:spacing w:after="0" w:line="260"/>
            </w:pPr>
            <w:r>
              <w:rPr>
                <w:b/>
                <w:bCs/>
                <w:color w:val="FFFFFF"/>
                <w:sz w:val="19"/>
                <w:szCs w:val="19"/>
              </w:rPr>
              <w:t xml:space="preserve">기여 장치</w:t>
            </w:r>
          </w:p>
        </w:tc>
        <w:tc>
          <w:tcPr>
            <w:tcW w:type="dxa" w:w="3926"/>
            <w:tcBorders>
              <w:top w:val="single" w:color="CCD6E8" w:sz="1"/>
              <w:left w:val="single" w:color="CCD6E8" w:sz="1"/>
              <w:bottom w:val="single" w:color="CCD6E8" w:sz="1"/>
              <w:right w:val="single" w:color="CCD6E8" w:sz="1"/>
            </w:tcBorders>
            <w:shd w:fill="13203F" w:val="clear"/>
            <w:tcMar>
              <w:top w:type="dxa" w:w="80"/>
              <w:left w:type="dxa" w:w="120"/>
              <w:bottom w:type="dxa" w:w="80"/>
              <w:right w:type="dxa" w:w="120"/>
            </w:tcMar>
          </w:tcPr>
          <w:p>
            <w:pPr>
              <w:spacing w:after="0" w:line="260"/>
            </w:pPr>
            <w:r>
              <w:rPr>
                <w:b/>
                <w:bCs/>
                <w:color w:val="FFFFFF"/>
                <w:sz w:val="19"/>
                <w:szCs w:val="19"/>
              </w:rPr>
              <w:t xml:space="preserve">측정 제안</w:t>
            </w:r>
          </w:p>
        </w:tc>
      </w:tr>
      <w:tr>
        <w:tc>
          <w:tcPr>
            <w:tcW w:type="dxa" w:w="1700"/>
            <w:tcBorders>
              <w:top w:val="single" w:color="CCD6E8" w:sz="1"/>
              <w:left w:val="single" w:color="CCD6E8" w:sz="1"/>
              <w:bottom w:val="single" w:color="CCD6E8" w:sz="1"/>
              <w:right w:val="single" w:color="CCD6E8" w:sz="1"/>
            </w:tcBorders>
            <w:tcMar>
              <w:top w:type="dxa" w:w="80"/>
              <w:left w:type="dxa" w:w="120"/>
              <w:bottom w:type="dxa" w:w="80"/>
              <w:right w:type="dxa" w:w="120"/>
            </w:tcMar>
          </w:tcPr>
          <w:p>
            <w:pPr>
              <w:spacing w:after="0" w:line="260"/>
            </w:pPr>
            <w:r>
              <w:rPr>
                <w:b/>
                <w:bCs/>
                <w:sz w:val="19"/>
                <w:szCs w:val="19"/>
              </w:rPr>
              <w:t xml:space="preserve">① 세션 완료율</w:t>
            </w:r>
          </w:p>
        </w:tc>
        <w:tc>
          <w:tcPr>
            <w:tcW w:type="dxa" w:w="3400"/>
            <w:tcBorders>
              <w:top w:val="single" w:color="CCD6E8" w:sz="1"/>
              <w:left w:val="single" w:color="CCD6E8" w:sz="1"/>
              <w:bottom w:val="single" w:color="CCD6E8" w:sz="1"/>
              <w:right w:val="single" w:color="CCD6E8" w:sz="1"/>
            </w:tcBorders>
            <w:tcMar>
              <w:top w:type="dxa" w:w="80"/>
              <w:left w:type="dxa" w:w="120"/>
              <w:bottom w:type="dxa" w:w="80"/>
              <w:right w:type="dxa" w:w="120"/>
            </w:tcMar>
          </w:tcPr>
          <w:p>
            <w:pPr>
              <w:spacing w:after="0" w:line="260"/>
            </w:pPr>
            <w:r>
              <w:rPr>
                <w:b w:val="false"/>
                <w:bCs w:val="false"/>
                <w:sz w:val="19"/>
                <w:szCs w:val="19"/>
              </w:rPr>
              <w:t xml:space="preserve">힌트 3단계·좌절 안전망(U), 진행 링·델타 카드(M), 등불 습관(L)</w:t>
            </w:r>
          </w:p>
        </w:tc>
        <w:tc>
          <w:tcPr>
            <w:tcW w:type="dxa" w:w="3926"/>
            <w:tcBorders>
              <w:top w:val="single" w:color="CCD6E8" w:sz="1"/>
              <w:left w:val="single" w:color="CCD6E8" w:sz="1"/>
              <w:bottom w:val="single" w:color="CCD6E8" w:sz="1"/>
              <w:right w:val="single" w:color="CCD6E8" w:sz="1"/>
            </w:tcBorders>
            <w:tcMar>
              <w:top w:type="dxa" w:w="80"/>
              <w:left w:type="dxa" w:w="120"/>
              <w:bottom w:type="dxa" w:w="80"/>
              <w:right w:type="dxa" w:w="120"/>
            </w:tcMar>
          </w:tcPr>
          <w:p>
            <w:pPr>
              <w:spacing w:after="0" w:line="260"/>
            </w:pPr>
            <w:r>
              <w:rPr>
                <w:b w:val="false"/>
                <w:bCs w:val="false"/>
                <w:sz w:val="19"/>
                <w:szCs w:val="19"/>
              </w:rPr>
              <w:t xml:space="preserve">완료율 + 힌트 없이 완료한 비율(자기주도 지표) 병행 — 참여와 성과의 분리 감시</w:t>
            </w:r>
          </w:p>
        </w:tc>
      </w:tr>
      <w:tr>
        <w:tc>
          <w:tcPr>
            <w:tcW w:type="dxa" w:w="1700"/>
            <w:tcBorders>
              <w:top w:val="single" w:color="CCD6E8" w:sz="1"/>
              <w:left w:val="single" w:color="CCD6E8" w:sz="1"/>
              <w:bottom w:val="single" w:color="CCD6E8" w:sz="1"/>
              <w:right w:val="single" w:color="CCD6E8" w:sz="1"/>
            </w:tcBorders>
            <w:tcMar>
              <w:top w:type="dxa" w:w="80"/>
              <w:left w:type="dxa" w:w="120"/>
              <w:bottom w:type="dxa" w:w="80"/>
              <w:right w:type="dxa" w:w="120"/>
            </w:tcMar>
          </w:tcPr>
          <w:p>
            <w:pPr>
              <w:spacing w:after="0" w:line="260"/>
            </w:pPr>
            <w:r>
              <w:rPr>
                <w:b/>
                <w:bCs/>
                <w:sz w:val="19"/>
                <w:szCs w:val="19"/>
              </w:rPr>
              <w:t xml:space="preserve">② 페르소나 반응</w:t>
            </w:r>
          </w:p>
        </w:tc>
        <w:tc>
          <w:tcPr>
            <w:tcW w:type="dxa" w:w="3400"/>
            <w:tcBorders>
              <w:top w:val="single" w:color="CCD6E8" w:sz="1"/>
              <w:left w:val="single" w:color="CCD6E8" w:sz="1"/>
              <w:bottom w:val="single" w:color="CCD6E8" w:sz="1"/>
              <w:right w:val="single" w:color="CCD6E8" w:sz="1"/>
            </w:tcBorders>
            <w:tcMar>
              <w:top w:type="dxa" w:w="80"/>
              <w:left w:type="dxa" w:w="120"/>
              <w:bottom w:type="dxa" w:w="80"/>
              <w:right w:type="dxa" w:w="120"/>
            </w:tcMar>
          </w:tcPr>
          <w:p>
            <w:pPr>
              <w:spacing w:after="0" w:line="260"/>
            </w:pPr>
            <w:r>
              <w:rPr>
                <w:b w:val="false"/>
                <w:bCs w:val="false"/>
                <w:sz w:val="19"/>
                <w:szCs w:val="19"/>
              </w:rPr>
              <w:t xml:space="preserve">사고 여정 메모리(E), 페르소나 선택권(N)</w:t>
            </w:r>
          </w:p>
        </w:tc>
        <w:tc>
          <w:tcPr>
            <w:tcW w:type="dxa" w:w="3926"/>
            <w:tcBorders>
              <w:top w:val="single" w:color="CCD6E8" w:sz="1"/>
              <w:left w:val="single" w:color="CCD6E8" w:sz="1"/>
              <w:bottom w:val="single" w:color="CCD6E8" w:sz="1"/>
              <w:right w:val="single" w:color="CCD6E8" w:sz="1"/>
            </w:tcBorders>
            <w:tcMar>
              <w:top w:type="dxa" w:w="80"/>
              <w:left w:type="dxa" w:w="120"/>
              <w:bottom w:type="dxa" w:w="80"/>
              <w:right w:type="dxa" w:w="120"/>
            </w:tcMar>
          </w:tcPr>
          <w:p>
            <w:pPr>
              <w:spacing w:after="0" w:line="260"/>
            </w:pPr>
            <w:r>
              <w:rPr>
                <w:b w:val="false"/>
                <w:bCs w:val="false"/>
                <w:sz w:val="19"/>
                <w:szCs w:val="19"/>
              </w:rPr>
              <w:t xml:space="preserve">상호작용 빈도 + 정서 의존 신호 모니터링(과사용 감지)</w:t>
            </w:r>
          </w:p>
        </w:tc>
      </w:tr>
      <w:tr>
        <w:tc>
          <w:tcPr>
            <w:tcW w:type="dxa" w:w="1700"/>
            <w:tcBorders>
              <w:top w:val="single" w:color="CCD6E8" w:sz="1"/>
              <w:left w:val="single" w:color="CCD6E8" w:sz="1"/>
              <w:bottom w:val="single" w:color="CCD6E8" w:sz="1"/>
              <w:right w:val="single" w:color="CCD6E8" w:sz="1"/>
            </w:tcBorders>
            <w:tcMar>
              <w:top w:type="dxa" w:w="80"/>
              <w:left w:type="dxa" w:w="120"/>
              <w:bottom w:type="dxa" w:w="80"/>
              <w:right w:type="dxa" w:w="120"/>
            </w:tcMar>
          </w:tcPr>
          <w:p>
            <w:pPr>
              <w:spacing w:after="0" w:line="260"/>
            </w:pPr>
            <w:r>
              <w:rPr>
                <w:b/>
                <w:bCs/>
                <w:sz w:val="19"/>
                <w:szCs w:val="19"/>
              </w:rPr>
              <w:t xml:space="preserve">③ 학부모 리포트 반응</w:t>
            </w:r>
          </w:p>
        </w:tc>
        <w:tc>
          <w:tcPr>
            <w:tcW w:type="dxa" w:w="3400"/>
            <w:tcBorders>
              <w:top w:val="single" w:color="CCD6E8" w:sz="1"/>
              <w:left w:val="single" w:color="CCD6E8" w:sz="1"/>
              <w:bottom w:val="single" w:color="CCD6E8" w:sz="1"/>
              <w:right w:val="single" w:color="CCD6E8" w:sz="1"/>
            </w:tcBorders>
            <w:tcMar>
              <w:top w:type="dxa" w:w="80"/>
              <w:left w:type="dxa" w:w="120"/>
              <w:bottom w:type="dxa" w:w="80"/>
              <w:right w:type="dxa" w:w="120"/>
            </w:tcMar>
          </w:tcPr>
          <w:p>
            <w:pPr>
              <w:spacing w:after="0" w:line="260"/>
            </w:pPr>
            <w:r>
              <w:rPr>
                <w:b w:val="false"/>
                <w:bCs w:val="false"/>
                <w:sz w:val="19"/>
                <w:szCs w:val="19"/>
              </w:rPr>
              <w:t xml:space="preserve">주간 항해일지(M), 자기주도 지표(N)</w:t>
            </w:r>
          </w:p>
        </w:tc>
        <w:tc>
          <w:tcPr>
            <w:tcW w:type="dxa" w:w="3926"/>
            <w:tcBorders>
              <w:top w:val="single" w:color="CCD6E8" w:sz="1"/>
              <w:left w:val="single" w:color="CCD6E8" w:sz="1"/>
              <w:bottom w:val="single" w:color="CCD6E8" w:sz="1"/>
              <w:right w:val="single" w:color="CCD6E8" w:sz="1"/>
            </w:tcBorders>
            <w:tcMar>
              <w:top w:type="dxa" w:w="80"/>
              <w:left w:type="dxa" w:w="120"/>
              <w:bottom w:type="dxa" w:w="80"/>
              <w:right w:type="dxa" w:w="120"/>
            </w:tcMar>
          </w:tcPr>
          <w:p>
            <w:pPr>
              <w:spacing w:after="0" w:line="260"/>
            </w:pPr>
            <w:r>
              <w:rPr>
                <w:b w:val="false"/>
                <w:bCs w:val="false"/>
                <w:sz w:val="19"/>
                <w:szCs w:val="19"/>
              </w:rPr>
              <w:t xml:space="preserve">열람률 + “성장이 느껴진다” 정성 응답</w:t>
            </w:r>
          </w:p>
        </w:tc>
      </w:tr>
      <w:tr>
        <w:tc>
          <w:tcPr>
            <w:tcW w:type="dxa" w:w="1700"/>
            <w:tcBorders>
              <w:top w:val="single" w:color="CCD6E8" w:sz="1"/>
              <w:left w:val="single" w:color="CCD6E8" w:sz="1"/>
              <w:bottom w:val="single" w:color="CCD6E8" w:sz="1"/>
              <w:right w:val="single" w:color="CCD6E8" w:sz="1"/>
            </w:tcBorders>
            <w:tcMar>
              <w:top w:type="dxa" w:w="80"/>
              <w:left w:type="dxa" w:w="120"/>
              <w:bottom w:type="dxa" w:w="80"/>
              <w:right w:type="dxa" w:w="120"/>
            </w:tcMar>
          </w:tcPr>
          <w:p>
            <w:pPr>
              <w:spacing w:after="0" w:line="260"/>
            </w:pPr>
            <w:r>
              <w:rPr>
                <w:b/>
                <w:bCs/>
                <w:sz w:val="19"/>
                <w:szCs w:val="19"/>
              </w:rPr>
              <w:t xml:space="preserve">④ 학습 패턴</w:t>
            </w:r>
          </w:p>
        </w:tc>
        <w:tc>
          <w:tcPr>
            <w:tcW w:type="dxa" w:w="3400"/>
            <w:tcBorders>
              <w:top w:val="single" w:color="CCD6E8" w:sz="1"/>
              <w:left w:val="single" w:color="CCD6E8" w:sz="1"/>
              <w:bottom w:val="single" w:color="CCD6E8" w:sz="1"/>
              <w:right w:val="single" w:color="CCD6E8" w:sz="1"/>
            </w:tcBorders>
            <w:tcMar>
              <w:top w:type="dxa" w:w="80"/>
              <w:left w:type="dxa" w:w="120"/>
              <w:bottom w:type="dxa" w:w="80"/>
              <w:right w:type="dxa" w:w="120"/>
            </w:tcMar>
          </w:tcPr>
          <w:p>
            <w:pPr>
              <w:spacing w:after="0" w:line="260"/>
            </w:pPr>
            <w:r>
              <w:rPr>
                <w:b w:val="false"/>
                <w:bCs w:val="false"/>
                <w:sz w:val="19"/>
                <w:szCs w:val="19"/>
              </w:rPr>
              <w:t xml:space="preserve">시간대 자기 선택(L), 세션 로그</w:t>
            </w:r>
          </w:p>
        </w:tc>
        <w:tc>
          <w:tcPr>
            <w:tcW w:type="dxa" w:w="3926"/>
            <w:tcBorders>
              <w:top w:val="single" w:color="CCD6E8" w:sz="1"/>
              <w:left w:val="single" w:color="CCD6E8" w:sz="1"/>
              <w:bottom w:val="single" w:color="CCD6E8" w:sz="1"/>
              <w:right w:val="single" w:color="CCD6E8" w:sz="1"/>
            </w:tcBorders>
            <w:tcMar>
              <w:top w:type="dxa" w:w="80"/>
              <w:left w:type="dxa" w:w="120"/>
              <w:bottom w:type="dxa" w:w="80"/>
              <w:right w:type="dxa" w:w="120"/>
            </w:tcMar>
          </w:tcPr>
          <w:p>
            <w:pPr>
              <w:spacing w:after="0" w:line="260"/>
            </w:pPr>
            <w:r>
              <w:rPr>
                <w:b w:val="false"/>
                <w:bCs w:val="false"/>
                <w:sz w:val="19"/>
                <w:szCs w:val="19"/>
              </w:rPr>
              <w:t xml:space="preserve">자동성 형성 커브(66일 가설 검증), 시간대 고정률과 리텐션 상관</w:t>
            </w:r>
          </w:p>
        </w:tc>
      </w:tr>
    </w:tbl>
    <w:p>
      <w:pPr>
        <w:spacing w:after="160"/>
      </w:pPr>
    </w:p>
    <w:p>
      <w:pPr>
        <w:spacing w:after="160" w:line="300"/>
      </w:pPr>
      <w:r>
        <w:rPr>
          <w:b/>
          <w:bCs/>
        </w:rPr>
        <w:t xml:space="preserve">북극성 지표 제안 — “사고 복귀율”: </w:t>
      </w:r>
      <w:r>
        <w:t xml:space="preserve">오늘 사고 행동(근거 찾기 등)을 보인 학생이 다음 세션에서도 사고 행동을 보이는 비율. Duolingo CURR의 AAL식 재발명 — 참여(접속)가 아닌 사고의 리텐션을 최적화 대상으로 삼는 것 자체가 AAL의 차별화 선언이다.</w:t>
      </w:r>
    </w:p>
    <w:p>
      <w:pPr>
        <w:pStyle w:val="Heading1"/>
      </w:pPr>
      <w:r>
        <w:t xml:space="preserve">5. 결론: AAL의 포지셔닝 문장</w:t>
      </w:r>
    </w:p>
    <w:p>
      <w:pPr>
        <w:spacing w:after="160" w:line="300"/>
      </w:pPr>
      <w:r>
        <w:t xml:space="preserve">시장은 두 갈래로 갈라져 있다. 참여를 극대화하다 규제와 신뢰의 벽에 부딪힌 쪽(Character.AI, Duolingo 논쟁, Lumosity)과, 교수법은 옳았지만 습관 설계가 없어 외면받은 쪽(Khanmigo). AAL의 자리는 그 사이가 아니라 그 너머다:</w:t>
      </w:r>
    </w:p>
    <w:p>
      <w:pPr>
        <w:pBdr>
          <w:left w:val="single" w:color="A97B15" w:sz="12" w:space="8"/>
        </w:pBdr>
        <w:spacing w:after="200" w:before="120" w:line="300"/>
        <w:ind w:left="360" w:right="360"/>
      </w:pPr>
      <w:r>
        <w:rPr>
          <w:b/>
          <w:bCs/>
          <w:i/>
          <w:iCs/>
          <w:color w:val="13203F"/>
        </w:rPr>
        <w:t xml:space="preserve">“시장이 검증한 습관·성장 가시화의 심리학을, 소크라틱 철학이 허용하는 형태로만 쓴다. 우리가 리텐션시키는 것은 접속이 아니라 사고 습관이다.”</w:t>
      </w:r>
    </w:p>
    <w:p>
      <w:pPr>
        <w:spacing w:after="160" w:line="300"/>
      </w:pPr>
      <w:r>
        <w:t xml:space="preserve">이것은 윤리적 선언인 동시에 사업 전략이다. 2026년 규제 환경에서 “참여 최적화” 설계는 부채가 되고 있고, 학부모가 구매 결정자인 시장에서 “자기주도 지표”는 어떤 경쟁사도 아직 선점하지 않은 신뢰 자산이기 때문이다.</w:t>
      </w:r>
    </w:p>
    <w:p>
      <w:r>
        <w:br w:type="page"/>
      </w:r>
    </w:p>
    <w:p>
      <w:pPr>
        <w:pStyle w:val="Heading1"/>
      </w:pPr>
      <w:r>
        <w:t xml:space="preserve">6. 주요 출처</w:t>
      </w:r>
    </w:p>
    <w:p>
      <w:pPr>
        <w:pStyle w:val="Heading3"/>
      </w:pPr>
      <w:r>
        <w:t xml:space="preserve">시장 데이터</w:t>
      </w:r>
    </w:p>
    <w:p>
      <w:pPr>
        <w:pStyle w:val="ListParagraph"/>
        <w:numPr>
          <w:ilvl w:val="0"/>
          <w:numId w:val="2"/>
        </w:numPr>
        <w:spacing w:after="100" w:line="300"/>
      </w:pPr>
      <w:r>
        <w:t xml:space="preserve">a16z, State of Consumer AI 2025 — a16z.com/state-of-consumer-ai-2025-product-hits-misses-and-whats-next</w:t>
      </w:r>
    </w:p>
    <w:p>
      <w:pPr>
        <w:pStyle w:val="ListParagraph"/>
        <w:numPr>
          <w:ilvl w:val="0"/>
          <w:numId w:val="2"/>
        </w:numPr>
        <w:spacing w:after="100" w:line="300"/>
      </w:pPr>
      <w:r>
        <w:t xml:space="preserve">Sensor Tower, State of AI Apps 2025 — sensortower.com/blog/state-of-ai-apps-report-2025</w:t>
      </w:r>
    </w:p>
    <w:p>
      <w:pPr>
        <w:pStyle w:val="ListParagraph"/>
        <w:numPr>
          <w:ilvl w:val="0"/>
          <w:numId w:val="2"/>
        </w:numPr>
        <w:spacing w:after="100" w:line="300"/>
      </w:pPr>
      <w:r>
        <w:t xml:space="preserve">Jorge Mazal(전 Duolingo CPO), How Duolingo reignited user growth — lennysnewsletter.com/p/how-duolingo-reignited-user-growth</w:t>
      </w:r>
    </w:p>
    <w:p>
      <w:pPr>
        <w:pStyle w:val="ListParagraph"/>
        <w:numPr>
          <w:ilvl w:val="0"/>
          <w:numId w:val="2"/>
        </w:numPr>
        <w:spacing w:after="100" w:line="300"/>
      </w:pPr>
      <w:r>
        <w:t xml:space="preserve">Duolingo 주주서한 Q4 FY2024·Q3 FY2025 (investors.duolingo.com) · Duolingo 블로그(Friend Streak, 위젯, 실험 문화)</w:t>
      </w:r>
    </w:p>
    <w:p>
      <w:pPr>
        <w:pStyle w:val="ListParagraph"/>
        <w:numPr>
          <w:ilvl w:val="0"/>
          <w:numId w:val="2"/>
        </w:numPr>
        <w:spacing w:after="100" w:line="300"/>
      </w:pPr>
      <w:r>
        <w:t xml:space="preserve">HBS, Emotional Manipulation by AI Companions (2025) · Common Sense Media, Talk, Trust, and Trade-Offs (2025.7)</w:t>
      </w:r>
    </w:p>
    <w:p>
      <w:pPr>
        <w:pStyle w:val="ListParagraph"/>
        <w:numPr>
          <w:ilvl w:val="0"/>
          <w:numId w:val="2"/>
        </w:numPr>
        <w:spacing w:after="100" w:line="300"/>
      </w:pPr>
      <w:r>
        <w:t xml:space="preserve">Trophy — NRC 케이스(+64%) / Todoist Karma 케이스(62.3% vs 62.1%) · Pauso — 명상앱 D30 리텐션 비교</w:t>
      </w:r>
    </w:p>
    <w:p>
      <w:pPr>
        <w:pStyle w:val="ListParagraph"/>
        <w:numPr>
          <w:ilvl w:val="0"/>
          <w:numId w:val="2"/>
        </w:numPr>
        <w:spacing w:after="100" w:line="300"/>
      </w:pPr>
      <w:r>
        <w:t xml:space="preserve">FTC, Lumosity $2M 합의(2016) — ftc.gov</w:t>
      </w:r>
    </w:p>
    <w:p>
      <w:pPr>
        <w:pStyle w:val="Heading3"/>
      </w:pPr>
      <w:r>
        <w:t xml:space="preserve">학술 근거</w:t>
      </w:r>
    </w:p>
    <w:p>
      <w:pPr>
        <w:pStyle w:val="ListParagraph"/>
        <w:numPr>
          <w:ilvl w:val="0"/>
          <w:numId w:val="2"/>
        </w:numPr>
        <w:spacing w:after="100" w:line="300"/>
      </w:pPr>
      <w:r>
        <w:t xml:space="preserve">Howard et al. (2021), SDT 학생 동기 메타분석, Perspectives on Psychological Science</w:t>
      </w:r>
    </w:p>
    <w:p>
      <w:pPr>
        <w:pStyle w:val="ListParagraph"/>
        <w:numPr>
          <w:ilvl w:val="0"/>
          <w:numId w:val="2"/>
        </w:numPr>
        <w:spacing w:after="100" w:line="300"/>
      </w:pPr>
      <w:r>
        <w:t xml:space="preserve">Deci, Koestner &amp; Ryan (1999), 외적 보상 메타분석, Psychological Bulletin · Lepper, Greene &amp; Nisbett (1973), JPSP</w:t>
      </w:r>
    </w:p>
    <w:p>
      <w:pPr>
        <w:pStyle w:val="ListParagraph"/>
        <w:numPr>
          <w:ilvl w:val="0"/>
          <w:numId w:val="2"/>
        </w:numPr>
        <w:spacing w:after="100" w:line="300"/>
      </w:pPr>
      <w:r>
        <w:t xml:space="preserve">Sinha &amp; Kapur (2021), Productive Failure 메타분석, Review of Educational Research</w:t>
      </w:r>
    </w:p>
    <w:p>
      <w:pPr>
        <w:pStyle w:val="ListParagraph"/>
        <w:numPr>
          <w:ilvl w:val="0"/>
          <w:numId w:val="2"/>
        </w:numPr>
        <w:spacing w:after="100" w:line="300"/>
      </w:pPr>
      <w:r>
        <w:t xml:space="preserve">Sailer &amp; Homner (2020), 게이미피케이션 메타분석, Educational Psychology Review</w:t>
      </w:r>
    </w:p>
    <w:p>
      <w:pPr>
        <w:pStyle w:val="ListParagraph"/>
        <w:numPr>
          <w:ilvl w:val="0"/>
          <w:numId w:val="2"/>
        </w:numPr>
        <w:spacing w:after="100" w:line="300"/>
      </w:pPr>
      <w:r>
        <w:t xml:space="preserve">Lally et al. (2010), 습관 형성 66일 연구, European Journal of Social Psychology · Wood &amp; Neal (2007), Psychological Review</w:t>
      </w:r>
    </w:p>
    <w:p>
      <w:pPr>
        <w:pStyle w:val="ListParagraph"/>
        <w:numPr>
          <w:ilvl w:val="0"/>
          <w:numId w:val="2"/>
        </w:numPr>
        <w:spacing w:after="100" w:line="300"/>
      </w:pPr>
      <w:r>
        <w:t xml:space="preserve">Kivetz, Urminsky &amp; Zheng (2006), JMR · Norton, Mochon &amp; Ariely (2012), JCP</w:t>
      </w:r>
    </w:p>
    <w:p>
      <w:pPr>
        <w:pStyle w:val="ListParagraph"/>
        <w:numPr>
          <w:ilvl w:val="0"/>
          <w:numId w:val="2"/>
        </w:numPr>
        <w:spacing w:after="100" w:line="300"/>
      </w:pPr>
      <w:r>
        <w:t xml:space="preserve">Nature HSSC (2025), Zeigarnik/Ovsiankina 메타분석 · Wood, Bruner &amp; Ross (1976), 스캐폴딩 원 논문</w:t>
      </w:r>
    </w:p>
    <w:p>
      <w:pPr>
        <w:pStyle w:val="ListParagraph"/>
        <w:numPr>
          <w:ilvl w:val="0"/>
          <w:numId w:val="2"/>
        </w:numPr>
        <w:spacing w:after="100" w:line="300"/>
      </w:pPr>
      <w:r>
        <w:t xml:space="preserve">Nicholson, A RECIPE for Meaningful Gamification</w:t>
      </w:r>
    </w:p>
    <w:p>
      <w:pPr>
        <w:pStyle w:val="Heading3"/>
      </w:pPr>
      <w:r>
        <w:t xml:space="preserve">규제·윤리</w:t>
      </w:r>
    </w:p>
    <w:p>
      <w:pPr>
        <w:pStyle w:val="ListParagraph"/>
        <w:numPr>
          <w:ilvl w:val="0"/>
          <w:numId w:val="2"/>
        </w:numPr>
        <w:spacing w:after="100" w:line="300"/>
      </w:pPr>
      <w:r>
        <w:t xml:space="preserve">EU 집행위, DSA 미성년자 보호 가이드라인(2025.7) · ICO(영국), Age Appropriate Design Code</w:t>
      </w:r>
    </w:p>
    <w:p>
      <w:pPr>
        <w:pStyle w:val="ListParagraph"/>
        <w:numPr>
          <w:ilvl w:val="0"/>
          <w:numId w:val="2"/>
        </w:numPr>
        <w:spacing w:after="100" w:line="300"/>
      </w:pPr>
      <w:r>
        <w:t xml:space="preserve">미국 KIDS Act 하원 통과(2026.6) · 한국 전자상거래법 다크패턴 규제(2025.2 시행)</w:t>
      </w:r>
    </w:p>
    <w:p>
      <w:pPr>
        <w:pStyle w:val="ListParagraph"/>
        <w:numPr>
          <w:ilvl w:val="0"/>
          <w:numId w:val="2"/>
        </w:numPr>
        <w:spacing w:after="100" w:line="300"/>
      </w:pPr>
      <w:r>
        <w:t xml:space="preserve">Character.AI 18세 미만 제한(2025.10)·Google 합의(2026.1) 보도</w:t>
      </w:r>
    </w:p>
    <w:p>
      <w:pPr>
        <w:pStyle w:val="Heading3"/>
      </w:pPr>
      <w:r>
        <w:t xml:space="preserve">철학 원전</w:t>
      </w:r>
    </w:p>
    <w:p>
      <w:pPr>
        <w:pStyle w:val="ListParagraph"/>
        <w:numPr>
          <w:ilvl w:val="0"/>
          <w:numId w:val="2"/>
        </w:numPr>
        <w:spacing w:after="100" w:line="300"/>
      </w:pPr>
      <w:r>
        <w:t xml:space="preserve">플라톤 『테아이테토스』 · 아리스토텔레스 『니코마코스 윤리학』 2권 · 칸트 자율성/넛지 논쟁(Springer, Cambridge EJRR) · 듀이 『Interest and Effort in Education』(1913) · 비고츠키 『Mind in Society』(1978)</w:t>
      </w:r>
    </w:p>
    <w:p>
      <w:pPr>
        <w:spacing w:after="160" w:line="300"/>
      </w:pPr>
      <w:r>
        <w:rPr>
          <w:color w:val="5A6C8F"/>
        </w:rPr>
        <w:t xml:space="preserve">상세 URL은 리서치 원자료(07_심리UX_psychology/심리UX_방법론_리서치보고서.md) 참조. (미검증) 표기 수치는 임원 보고 시 인용을 피하거나 조건부 표기 권장.</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color w:val="5A6C8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color w:val="5A6C8F"/>
        <w:sz w:val="16"/>
        <w:szCs w:val="16"/>
      </w:rPr>
      <w:t xml:space="preserve">AAL 심리 UX 방법론 리서치 보고서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abstractNum w:abstractNumId="5"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Malgun Gothic" w:cs="Malgun Gothic" w:eastAsia="Malgun Gothic" w:hAnsi="Malgun Gothic"/>
      <w:b/>
      <w:bCs/>
      <w:color w:val="13203F"/>
      <w:sz w:val="30"/>
      <w:szCs w:val="30"/>
    </w:rPr>
  </w:style>
  <w:style w:type="paragraph" w:styleId="Heading2">
    <w:name w:val="Heading 2"/>
    <w:basedOn w:val="Normal"/>
    <w:next w:val="Normal"/>
    <w:qFormat/>
    <w:pPr>
      <w:spacing w:after="160" w:before="260"/>
      <w:outlineLvl w:val="1"/>
    </w:pPr>
    <w:rPr>
      <w:rFonts w:ascii="Malgun Gothic" w:cs="Malgun Gothic" w:eastAsia="Malgun Gothic" w:hAnsi="Malgun Gothic"/>
      <w:b/>
      <w:bCs/>
      <w:color w:val="13203F"/>
      <w:sz w:val="24"/>
      <w:szCs w:val="24"/>
    </w:rPr>
  </w:style>
  <w:style w:type="paragraph" w:styleId="Heading3">
    <w:name w:val="Heading 3"/>
    <w:basedOn w:val="Normal"/>
    <w:next w:val="Normal"/>
    <w:qFormat/>
    <w:pPr>
      <w:spacing w:after="120" w:before="200"/>
      <w:outlineLvl w:val="2"/>
    </w:pPr>
    <w:rPr>
      <w:rFonts w:ascii="Malgun Gothic" w:cs="Malgun Gothic" w:eastAsia="Malgun Gothic" w:hAnsi="Malgun Gothic"/>
      <w:b/>
      <w:bCs/>
      <w:color w:val="A97B1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2026-07-03T06:50:44.644Z</dcterms:created>
  <dcterms:modified xsi:type="dcterms:W3CDTF">2026-07-03T06:50:44.645Z</dcterms:modified>
</cp:coreProperties>
</file>

<file path=docProps/custom.xml><?xml version="1.0" encoding="utf-8"?>
<Properties xmlns="http://schemas.openxmlformats.org/officeDocument/2006/custom-properties" xmlns:vt="http://schemas.openxmlformats.org/officeDocument/2006/docPropsVTypes"/>
</file>