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A2672" w14:textId="77777777" w:rsidR="006570CD" w:rsidRDefault="006570CD">
      <w:pPr>
        <w:spacing w:before="1600"/>
      </w:pPr>
    </w:p>
    <w:p w14:paraId="5151AFB1" w14:textId="77777777" w:rsidR="006570CD" w:rsidRDefault="00000000">
      <w:pPr>
        <w:jc w:val="center"/>
      </w:pPr>
      <w:r>
        <w:rPr>
          <w:b/>
          <w:bCs/>
          <w:color w:val="1F4E5C"/>
          <w:sz w:val="44"/>
          <w:szCs w:val="44"/>
        </w:rPr>
        <w:t>DOES YOUR STRATEGY HAVE REAL ALPHA?</w:t>
      </w:r>
    </w:p>
    <w:p w14:paraId="45CDEFB1" w14:textId="77777777" w:rsidR="006570CD" w:rsidRDefault="00000000">
      <w:pPr>
        <w:spacing w:before="200" w:after="400"/>
        <w:jc w:val="center"/>
      </w:pPr>
      <w:r>
        <w:rPr>
          <w:i/>
          <w:iCs/>
          <w:color w:val="595959"/>
          <w:sz w:val="26"/>
          <w:szCs w:val="26"/>
        </w:rPr>
        <w:t>A Backtest and CAPM Decomposition of a 12-1 Cross-Sectional Momentum Strategy</w:t>
      </w:r>
    </w:p>
    <w:p w14:paraId="087143B4" w14:textId="77777777" w:rsidR="006570CD" w:rsidRDefault="00000000">
      <w:pPr>
        <w:spacing w:after="60"/>
        <w:jc w:val="center"/>
      </w:pPr>
      <w:r>
        <w:t xml:space="preserve">Universe: S&amp;P 500 Constituents (CRSP, </w:t>
      </w:r>
      <w:proofErr w:type="spellStart"/>
      <w:r>
        <w:t>permno</w:t>
      </w:r>
      <w:proofErr w:type="spellEnd"/>
      <w:r>
        <w:t>-linked)</w:t>
      </w:r>
    </w:p>
    <w:p w14:paraId="7C3F012A" w14:textId="77777777" w:rsidR="006570CD" w:rsidRDefault="00000000">
      <w:pPr>
        <w:spacing w:after="60"/>
        <w:jc w:val="center"/>
      </w:pPr>
      <w:r>
        <w:t>Sample Period: 2000 – 2024, Monthly Rebalancing</w:t>
      </w:r>
    </w:p>
    <w:p w14:paraId="181CB1FB" w14:textId="77777777" w:rsidR="006570CD" w:rsidRDefault="00000000">
      <w:pPr>
        <w:spacing w:after="60"/>
        <w:jc w:val="center"/>
      </w:pPr>
      <w:r>
        <w:t>Strategy: Decile-Sorted Long-Short Momentum (12-1)</w:t>
      </w:r>
    </w:p>
    <w:p w14:paraId="1FE4981E" w14:textId="77777777" w:rsidR="006570CD" w:rsidRDefault="00000000">
      <w:pPr>
        <w:spacing w:before="300"/>
        <w:jc w:val="center"/>
      </w:pPr>
      <w:r>
        <w:rPr>
          <w:color w:val="595959"/>
          <w:sz w:val="20"/>
          <w:szCs w:val="20"/>
        </w:rPr>
        <w:t>Group Homework — Due Session 4</w:t>
      </w:r>
    </w:p>
    <w:p w14:paraId="1FAC77A4" w14:textId="77777777" w:rsidR="006570CD" w:rsidRDefault="00000000">
      <w:r>
        <w:br w:type="page"/>
      </w:r>
    </w:p>
    <w:p w14:paraId="36767FA8" w14:textId="77777777" w:rsidR="006570CD" w:rsidRDefault="00000000">
      <w:pPr>
        <w:pStyle w:val="Heading1"/>
        <w:pBdr>
          <w:bottom w:val="single" w:sz="6" w:space="4" w:color="1F4E5C"/>
        </w:pBdr>
        <w:spacing w:before="360" w:after="160"/>
      </w:pPr>
      <w:r>
        <w:rPr>
          <w:b/>
          <w:bCs/>
          <w:color w:val="1F4E5C"/>
          <w:sz w:val="28"/>
          <w:szCs w:val="28"/>
        </w:rPr>
        <w:lastRenderedPageBreak/>
        <w:t>1. Executive Summary</w:t>
      </w:r>
    </w:p>
    <w:p w14:paraId="7B0C28E5" w14:textId="77777777" w:rsidR="006570CD" w:rsidRDefault="00000000">
      <w:pPr>
        <w:spacing w:after="160" w:line="276" w:lineRule="auto"/>
      </w:pPr>
      <w:r>
        <w:t xml:space="preserve">This project </w:t>
      </w:r>
      <w:proofErr w:type="spellStart"/>
      <w:r>
        <w:t>backtests</w:t>
      </w:r>
      <w:proofErr w:type="spellEnd"/>
      <w:r>
        <w:t xml:space="preserve"> a classic cross-sectional equity momentum strategy — the well-known “12-1” formation — on a point-in-time-correct universe of S&amp;P 500 constituents from 2000 to 2024, and then asks the central question posed by the assignment: does the strategy's performance reflect genuine skill (alpha), or is it simply repackaged market risk (beta)? The underlying data pipeline reconstructs the actual historical index membership at each rebalance date (rather than using today's constituent list), resolves tickers to permanent CRSP identifiers within their valid historical date ranges, and folds delisting returns into realized performance — a materially more careful setup than the naive “current S&amp;P 500, full history” </w:t>
      </w:r>
      <w:proofErr w:type="spellStart"/>
      <w:r>
        <w:t>backtest</w:t>
      </w:r>
      <w:proofErr w:type="spellEnd"/>
      <w:r>
        <w:t xml:space="preserve"> that produces artificially inflated results in many student projects.</w:t>
      </w:r>
    </w:p>
    <w:p w14:paraId="1C89C35E" w14:textId="77777777" w:rsidR="006570CD" w:rsidRDefault="00000000">
      <w:pPr>
        <w:spacing w:after="160" w:line="276" w:lineRule="auto"/>
      </w:pPr>
      <w:r>
        <w:t>The answer from this sample is clear: no. The long-short momentum spread lost money on a standalone basis (−2.66% annualized return, −24.83% volatility, Sharpe −0.11) while the market proxy returned a positive 10.20% with a Sharpe of 0.37. When the strategy's returns are regressed on market excess returns, the estimated CAPM alpha is a positive 3.06% annualized, but it is statistically indistinguishable from zero (t-statistic 0.70, p-value 0.48). The regression also reveals a large negative market beta (−0.74), meaning the strategy behaved as a partial market hedge over this sample rather than a diversifying, skill-driven return stream. The correct conclusion is to fail to reject the null hypothesis of zero alpha: on this data, the strategy's returns are best explained by noise and unrewarded factor/style exposure, not repeatable manager skill.</w:t>
      </w:r>
    </w:p>
    <w:p w14:paraId="6C18AF75" w14:textId="77777777" w:rsidR="006570CD" w:rsidRDefault="00000000">
      <w:pPr>
        <w:pStyle w:val="Heading1"/>
        <w:pBdr>
          <w:bottom w:val="single" w:sz="6" w:space="4" w:color="1F4E5C"/>
        </w:pBdr>
        <w:spacing w:before="360" w:after="160"/>
      </w:pPr>
      <w:r>
        <w:rPr>
          <w:b/>
          <w:bCs/>
          <w:color w:val="1F4E5C"/>
          <w:sz w:val="28"/>
          <w:szCs w:val="28"/>
        </w:rPr>
        <w:t>2. Universe, Data &amp; Point-in-Time Construction</w:t>
      </w:r>
    </w:p>
    <w:p w14:paraId="0A101232" w14:textId="77777777" w:rsidR="006570CD" w:rsidRDefault="00000000">
      <w:pPr>
        <w:spacing w:after="80"/>
      </w:pPr>
      <w:r>
        <w:rPr>
          <w:b/>
          <w:bCs/>
        </w:rPr>
        <w:t xml:space="preserve">Asset class: </w:t>
      </w:r>
      <w:r>
        <w:t>US common equities</w:t>
      </w:r>
    </w:p>
    <w:p w14:paraId="2596B0DA" w14:textId="77777777" w:rsidR="006570CD" w:rsidRDefault="00000000">
      <w:pPr>
        <w:spacing w:after="80"/>
      </w:pPr>
      <w:r>
        <w:rPr>
          <w:b/>
          <w:bCs/>
        </w:rPr>
        <w:t xml:space="preserve">Universe: </w:t>
      </w:r>
      <w:r>
        <w:t>S&amp;P 500 constituents, identified by CRSP PERMNO</w:t>
      </w:r>
    </w:p>
    <w:p w14:paraId="210B66E0" w14:textId="77777777" w:rsidR="006570CD" w:rsidRDefault="00000000">
      <w:pPr>
        <w:spacing w:after="80"/>
      </w:pPr>
      <w:r>
        <w:rPr>
          <w:b/>
          <w:bCs/>
        </w:rPr>
        <w:t xml:space="preserve">Sample period: </w:t>
      </w:r>
      <w:r>
        <w:t>2000 – 2024</w:t>
      </w:r>
    </w:p>
    <w:p w14:paraId="4D766462" w14:textId="77777777" w:rsidR="006570CD" w:rsidRDefault="00000000">
      <w:pPr>
        <w:spacing w:after="80"/>
      </w:pPr>
      <w:r>
        <w:rPr>
          <w:b/>
          <w:bCs/>
        </w:rPr>
        <w:t xml:space="preserve">Frequency: </w:t>
      </w:r>
      <w:r>
        <w:t>Monthly rebalancing (month-end signal, one-month forward holding return)</w:t>
      </w:r>
    </w:p>
    <w:p w14:paraId="51F5E89B" w14:textId="77777777" w:rsidR="006570CD" w:rsidRDefault="00000000">
      <w:pPr>
        <w:spacing w:after="80"/>
      </w:pPr>
      <w:r>
        <w:rPr>
          <w:b/>
          <w:bCs/>
        </w:rPr>
        <w:t xml:space="preserve">Return source: </w:t>
      </w:r>
      <w:r>
        <w:t>CRSP monthly stock file (</w:t>
      </w:r>
      <w:proofErr w:type="spellStart"/>
      <w:r>
        <w:t>crsp.msf</w:t>
      </w:r>
      <w:proofErr w:type="spellEnd"/>
      <w:r>
        <w:t>) via WRDS, inclusive of delisting returns (</w:t>
      </w:r>
      <w:proofErr w:type="spellStart"/>
      <w:proofErr w:type="gramStart"/>
      <w:r>
        <w:t>crsp.msedelist</w:t>
      </w:r>
      <w:proofErr w:type="spellEnd"/>
      <w:proofErr w:type="gramEnd"/>
      <w:r>
        <w:t>)</w:t>
      </w:r>
    </w:p>
    <w:p w14:paraId="61E95674" w14:textId="77777777" w:rsidR="006570CD" w:rsidRDefault="00000000">
      <w:pPr>
        <w:spacing w:after="160" w:line="276" w:lineRule="auto"/>
      </w:pPr>
      <w:r>
        <w:t xml:space="preserve">A notable strength of this project relative to a typical class </w:t>
      </w:r>
      <w:proofErr w:type="spellStart"/>
      <w:r>
        <w:t>backtest</w:t>
      </w:r>
      <w:proofErr w:type="spellEnd"/>
      <w:r>
        <w:t xml:space="preserve"> is that the universe itself is constructed point-in-time (PIT), not just the returns. Three preparatory scripts build the analysis-ready panel before any signal is computed:</w:t>
      </w:r>
    </w:p>
    <w:p w14:paraId="4FA6794E" w14:textId="77777777" w:rsidR="006570CD" w:rsidRDefault="00000000">
      <w:pPr>
        <w:pStyle w:val="Heading2"/>
        <w:spacing w:before="240" w:after="120"/>
      </w:pPr>
      <w:r>
        <w:rPr>
          <w:b/>
          <w:bCs/>
          <w:color w:val="1F4E5C"/>
          <w:sz w:val="24"/>
          <w:szCs w:val="24"/>
        </w:rPr>
        <w:t>2.1 Point-in-time constituent universe (01_extract_constituents.py)</w:t>
      </w:r>
    </w:p>
    <w:p w14:paraId="40888505" w14:textId="77777777" w:rsidR="006570CD" w:rsidRDefault="00000000">
      <w:pPr>
        <w:spacing w:after="160" w:line="276" w:lineRule="auto"/>
      </w:pPr>
      <w:r>
        <w:t xml:space="preserve">The starting point is a CSV of historical S&amp;P 500 additions/removals (“S&amp;P 500 Historical Components &amp; Changes”). For every month-end from 2000 to 2024, the script looks up the most recent constituent snapshot as of that date (the last row with snapshot date ≤ the rebalance date) and expands its comma-separated ticker list into one row per constituent. This means a stock is only included in a given month if it was actually in the S&amp;P 500 at that time — index members are not backfilled from today's roster, which is what avoids a common and serious form of look-ahead / survivorship bias in academic and student </w:t>
      </w:r>
      <w:proofErr w:type="spellStart"/>
      <w:r>
        <w:t>backtests</w:t>
      </w:r>
      <w:proofErr w:type="spellEnd"/>
      <w:r>
        <w:t xml:space="preserve"> alike.</w:t>
      </w:r>
    </w:p>
    <w:p w14:paraId="5063E8EE" w14:textId="77777777" w:rsidR="006570CD" w:rsidRDefault="00000000">
      <w:pPr>
        <w:pStyle w:val="Heading2"/>
        <w:spacing w:before="240" w:after="120"/>
      </w:pPr>
      <w:r>
        <w:rPr>
          <w:b/>
          <w:bCs/>
          <w:color w:val="1F4E5C"/>
          <w:sz w:val="24"/>
          <w:szCs w:val="24"/>
        </w:rPr>
        <w:t>2.2 Point-in-time ticker → PERMNO resolution</w:t>
      </w:r>
    </w:p>
    <w:p w14:paraId="23EBE3AE" w14:textId="77777777" w:rsidR="006570CD" w:rsidRDefault="00000000">
      <w:pPr>
        <w:spacing w:after="160" w:line="276" w:lineRule="auto"/>
      </w:pPr>
      <w:r>
        <w:t xml:space="preserve">Tickers are not stable identifiers: they get recycled, reassigned, or changed after mergers, so mapping by ticker alone risks silently linking the wrong company through history. The script instead resolves each (ticker, </w:t>
      </w:r>
      <w:proofErr w:type="spellStart"/>
      <w:r>
        <w:t>snapshot_date</w:t>
      </w:r>
      <w:proofErr w:type="spellEnd"/>
      <w:r>
        <w:t>) pair against CRSP's own ticker-history table (</w:t>
      </w:r>
      <w:proofErr w:type="spellStart"/>
      <w:proofErr w:type="gramStart"/>
      <w:r>
        <w:t>crsp.stocknames</w:t>
      </w:r>
      <w:proofErr w:type="spellEnd"/>
      <w:proofErr w:type="gramEnd"/>
      <w:r>
        <w:t xml:space="preserve">), joining only where the snapshot date falls inside that ticker's valid start/end date range for a given security. This yields the stable CRSP PERMNO </w:t>
      </w:r>
      <w:r>
        <w:lastRenderedPageBreak/>
        <w:t>identifier used for the remainder of the pipeline, and any tickers that fail to resolve are counted and surfaced as a warning rather than silently dropped.</w:t>
      </w:r>
    </w:p>
    <w:p w14:paraId="2B8A4F4C" w14:textId="77777777" w:rsidR="006570CD" w:rsidRDefault="00000000">
      <w:pPr>
        <w:pStyle w:val="Heading2"/>
        <w:spacing w:before="240" w:after="120"/>
      </w:pPr>
      <w:r>
        <w:rPr>
          <w:b/>
          <w:bCs/>
          <w:color w:val="1F4E5C"/>
          <w:sz w:val="24"/>
          <w:szCs w:val="24"/>
        </w:rPr>
        <w:t>2.3 CRSP monthly returns retrieval (02_compute_signals.py)</w:t>
      </w:r>
    </w:p>
    <w:p w14:paraId="7410DC37" w14:textId="77777777" w:rsidR="006570CD" w:rsidRDefault="00000000">
      <w:pPr>
        <w:spacing w:after="160" w:line="276" w:lineRule="auto"/>
      </w:pPr>
      <w:r>
        <w:t xml:space="preserve">Using the resolved PERMNO list, monthly price, return, and delisting return data are pulled directly from WRDS's CRSP monthly stock file. A 13-month lookback buffer is added before the first rebalance date specifically so that the 12-1 momentum signal (which needs 11 months of history plus a 1-month skip) can be computed starting from the very first month of the official 2000–2024 sample, rather than losing the first year of the sample to missing history. Total return is computed immediately as it is ingested: </w:t>
      </w:r>
      <w:proofErr w:type="spellStart"/>
      <w:r>
        <w:t>total_return</w:t>
      </w:r>
      <w:proofErr w:type="spellEnd"/>
      <w:r>
        <w:t xml:space="preserve"> = (1+</w:t>
      </w:r>
      <w:proofErr w:type="gramStart"/>
      <w:r>
        <w:t>ret)(</w:t>
      </w:r>
      <w:proofErr w:type="gramEnd"/>
      <w:r>
        <w:t xml:space="preserve">1+dlret) − 1, folding in delisting returns from </w:t>
      </w:r>
      <w:proofErr w:type="spellStart"/>
      <w:proofErr w:type="gramStart"/>
      <w:r>
        <w:t>crsp.msedelist</w:t>
      </w:r>
      <w:proofErr w:type="spellEnd"/>
      <w:proofErr w:type="gramEnd"/>
      <w:r>
        <w:t xml:space="preserve"> so that stocks which are later dropped from the index (bankruptcy, delisting, merger-at-a-discount) are not silently excluded from the panel.</w:t>
      </w:r>
    </w:p>
    <w:p w14:paraId="45DD205E" w14:textId="77777777" w:rsidR="006570CD" w:rsidRDefault="00000000">
      <w:pPr>
        <w:pStyle w:val="Heading2"/>
        <w:spacing w:before="240" w:after="120"/>
      </w:pPr>
      <w:r>
        <w:rPr>
          <w:b/>
          <w:bCs/>
          <w:color w:val="1F4E5C"/>
          <w:sz w:val="24"/>
          <w:szCs w:val="24"/>
        </w:rPr>
        <w:t>2.4 Master panel assembly (03_construct_backtest_panel.py)</w:t>
      </w:r>
    </w:p>
    <w:p w14:paraId="4F2F8FB0" w14:textId="77777777" w:rsidR="006570CD" w:rsidRDefault="00000000">
      <w:pPr>
        <w:pStyle w:val="ListParagraph"/>
        <w:numPr>
          <w:ilvl w:val="0"/>
          <w:numId w:val="1"/>
        </w:numPr>
        <w:spacing w:after="80"/>
      </w:pPr>
      <w:r>
        <w:t>Deduplicates the PIT constituent list on (</w:t>
      </w:r>
      <w:proofErr w:type="spellStart"/>
      <w:r>
        <w:t>rebalance_date</w:t>
      </w:r>
      <w:proofErr w:type="spellEnd"/>
      <w:r>
        <w:t>, PERMNO) to collapse duplicate rows that can arise from corporate actions such as dual-class share tickers or symbol changes (e.g., Citigroup/Travelers-style ticker overlaps noted directly in the code).</w:t>
      </w:r>
    </w:p>
    <w:p w14:paraId="6EA82F19" w14:textId="77777777" w:rsidR="006570CD" w:rsidRDefault="00000000">
      <w:pPr>
        <w:pStyle w:val="ListParagraph"/>
        <w:numPr>
          <w:ilvl w:val="0"/>
          <w:numId w:val="1"/>
        </w:numPr>
        <w:spacing w:after="80"/>
      </w:pPr>
      <w:r>
        <w:t>Deduplicates the CRSP return series on (PERMNO, year-month) before computing forward returns, and computes the 1-month-forward return on the full, continuous per-stock CRSP history — not on the sparser, already-filtered constituent panel — so that a shift(-1) always lands on the correct next calendar month rather than skipping over a stock's temporary absence from the index.</w:t>
      </w:r>
    </w:p>
    <w:p w14:paraId="4523BBF5" w14:textId="77777777" w:rsidR="006570CD" w:rsidRDefault="00000000">
      <w:pPr>
        <w:pStyle w:val="ListParagraph"/>
        <w:numPr>
          <w:ilvl w:val="0"/>
          <w:numId w:val="1"/>
        </w:numPr>
        <w:spacing w:after="80"/>
      </w:pPr>
      <w:r>
        <w:t>Left-joins the PIT constituent universe to the CRSP return data on (PERMNO, year-month), which preserves every constituent-month in the output even when a matching CRSP return can't be found, and explicitly counts and warns on any resulting gaps instead of dropping them unnoticed.</w:t>
      </w:r>
    </w:p>
    <w:p w14:paraId="06EE72CF" w14:textId="77777777" w:rsidR="006570CD" w:rsidRDefault="00000000">
      <w:pPr>
        <w:spacing w:after="160" w:line="276" w:lineRule="auto"/>
      </w:pPr>
      <w:r>
        <w:t xml:space="preserve">The output of this stage, </w:t>
      </w:r>
      <w:proofErr w:type="spellStart"/>
      <w:r>
        <w:t>backtest_master_</w:t>
      </w:r>
      <w:proofErr w:type="gramStart"/>
      <w:r>
        <w:t>panel.parquet</w:t>
      </w:r>
      <w:proofErr w:type="spellEnd"/>
      <w:proofErr w:type="gramEnd"/>
      <w:r>
        <w:t>, is the same master panel consumed by the signal-construction step described in Section 3 below — the momentum signal, decile sort, and CAPM regression are all built on top of this point-in-time-correct foundation, not on a naive “current constituents projected backward” universe.</w:t>
      </w:r>
    </w:p>
    <w:p w14:paraId="04B729A6" w14:textId="77777777" w:rsidR="006570CD" w:rsidRDefault="00000000">
      <w:pPr>
        <w:pStyle w:val="Heading1"/>
        <w:pBdr>
          <w:bottom w:val="single" w:sz="6" w:space="4" w:color="1F4E5C"/>
        </w:pBdr>
        <w:spacing w:before="360" w:after="160"/>
      </w:pPr>
      <w:r>
        <w:rPr>
          <w:b/>
          <w:bCs/>
          <w:color w:val="1F4E5C"/>
          <w:sz w:val="28"/>
          <w:szCs w:val="28"/>
        </w:rPr>
        <w:t>3. Strategy Definition</w:t>
      </w:r>
    </w:p>
    <w:p w14:paraId="01C56C7F" w14:textId="77777777" w:rsidR="006570CD" w:rsidRDefault="00000000">
      <w:pPr>
        <w:spacing w:after="160" w:line="276" w:lineRule="auto"/>
      </w:pPr>
      <w:r>
        <w:t>The strategy is the textbook Jegadeesh-Titman “12-1” momentum signal: at each month-end t, a stock's momentum score is its cumulative compounded log return from month t−12 through t−2, deliberately skipping the most recent month (t−1) to avoid short-term reversal contamination and microstructure noise. Formally:</w:t>
      </w:r>
    </w:p>
    <w:p w14:paraId="56131B7C" w14:textId="4BFAE281" w:rsidR="003212C3" w:rsidRPr="00684236" w:rsidRDefault="00873247">
      <w:pPr>
        <w:spacing w:after="160" w:line="276" w:lineRule="auto"/>
      </w:pPr>
      <m:oMathPara>
        <m:oMath>
          <m:sSub>
            <m:sSubPr>
              <m:ctrlPr>
                <w:rPr>
                  <w:rFonts w:ascii="Cambria Math" w:hAnsi="Cambria Math"/>
                </w:rPr>
              </m:ctrlPr>
            </m:sSubPr>
            <m:e>
              <m:r>
                <m:rPr>
                  <m:nor/>
                </m:rPr>
                <m:t>mom</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s=t-12</m:t>
                      </m:r>
                    </m:sub>
                    <m:sup>
                      <m:r>
                        <w:rPr>
                          <w:rFonts w:ascii="Cambria Math" w:hAnsi="Cambria Math"/>
                        </w:rPr>
                        <m:t>t-2</m:t>
                      </m:r>
                    </m:sup>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b>
                                <m:sSubPr>
                                  <m:ctrlPr>
                                    <w:rPr>
                                      <w:rFonts w:ascii="Cambria Math" w:hAnsi="Cambria Math"/>
                                    </w:rPr>
                                  </m:ctrlPr>
                                </m:sSubPr>
                                <m:e>
                                  <m:r>
                                    <m:rPr>
                                      <m:nor/>
                                    </m:rPr>
                                    <m:t>ret</m:t>
                                  </m:r>
                                </m:e>
                                <m:sub>
                                  <m:r>
                                    <w:rPr>
                                      <w:rFonts w:ascii="Cambria Math" w:hAnsi="Cambria Math"/>
                                    </w:rPr>
                                    <m:t>s</m:t>
                                  </m:r>
                                </m:sub>
                              </m:sSub>
                            </m:e>
                          </m:d>
                        </m:e>
                      </m:func>
                    </m:e>
                  </m:nary>
                </m:e>
              </m:d>
            </m:e>
          </m:func>
          <m:r>
            <w:rPr>
              <w:rFonts w:ascii="Cambria Math" w:hAnsi="Cambria Math"/>
            </w:rPr>
            <m:t>-1</m:t>
          </m:r>
        </m:oMath>
      </m:oMathPara>
    </w:p>
    <w:p w14:paraId="3990A970" w14:textId="77777777" w:rsidR="00684236" w:rsidRDefault="00684236">
      <w:pPr>
        <w:spacing w:after="160" w:line="276" w:lineRule="auto"/>
      </w:pPr>
    </w:p>
    <w:p w14:paraId="642833D6" w14:textId="6B73D72F" w:rsidR="006570CD" w:rsidRDefault="00000000">
      <w:pPr>
        <w:spacing w:after="160" w:line="276" w:lineRule="auto"/>
      </w:pPr>
      <w:r>
        <w:t>Construction proceeds in four steps, mirroring the four scripts submitted:</w:t>
      </w:r>
    </w:p>
    <w:p w14:paraId="75598D41" w14:textId="77777777" w:rsidR="006570CD" w:rsidRDefault="00000000">
      <w:pPr>
        <w:pStyle w:val="ListParagraph"/>
        <w:numPr>
          <w:ilvl w:val="0"/>
          <w:numId w:val="1"/>
        </w:numPr>
        <w:spacing w:after="80"/>
      </w:pPr>
      <w:r>
        <w:t xml:space="preserve">Signal computation (01_compute_signals.py): builds the 12-1 trailing momentum signal per stock, requiring a full 11-month window, and </w:t>
      </w:r>
      <w:proofErr w:type="spellStart"/>
      <w:r>
        <w:t>winsorizes</w:t>
      </w:r>
      <w:proofErr w:type="spellEnd"/>
      <w:r>
        <w:t xml:space="preserve"> it cross-sectionally at the 1st/99th percentiles each month to limit the influence of outliers without look-ahead bias (the </w:t>
      </w:r>
      <w:proofErr w:type="spellStart"/>
      <w:r>
        <w:t>winsorization</w:t>
      </w:r>
      <w:proofErr w:type="spellEnd"/>
      <w:r>
        <w:t xml:space="preserve"> bounds are computed only from that month's cross-section).</w:t>
      </w:r>
    </w:p>
    <w:p w14:paraId="078CE1C4" w14:textId="77777777" w:rsidR="006570CD" w:rsidRDefault="00000000">
      <w:pPr>
        <w:pStyle w:val="ListParagraph"/>
        <w:numPr>
          <w:ilvl w:val="0"/>
          <w:numId w:val="1"/>
        </w:numPr>
        <w:spacing w:after="80"/>
      </w:pPr>
      <w:r>
        <w:lastRenderedPageBreak/>
        <w:t xml:space="preserve">Portfolio construction (02_construct_portfolio.py): each month, stocks are ranked into 10 equal-population deciles by momentum score. Decile 10 (highest past momentum, the “winners”) is the long leg; Decile 1 (lowest past momentum, the “losers”) is the short leg. Forward one-month holding returns are mapped with a 35-day gap </w:t>
      </w:r>
      <w:proofErr w:type="gramStart"/>
      <w:r>
        <w:t>check</w:t>
      </w:r>
      <w:proofErr w:type="gramEnd"/>
      <w:r>
        <w:t xml:space="preserve"> so returns are never stitched across missing or delisted months.</w:t>
      </w:r>
    </w:p>
    <w:p w14:paraId="42BDC5F0" w14:textId="77777777" w:rsidR="006570CD" w:rsidRDefault="00000000">
      <w:pPr>
        <w:pStyle w:val="ListParagraph"/>
        <w:numPr>
          <w:ilvl w:val="0"/>
          <w:numId w:val="1"/>
        </w:numPr>
        <w:spacing w:after="80"/>
      </w:pPr>
      <w:r>
        <w:t>Realized performance (03_evalute_performance.py): computes annualized return, volatility and Sharpe ratio for the long leg, short leg, and long-short spread.</w:t>
      </w:r>
    </w:p>
    <w:p w14:paraId="055F68B3" w14:textId="77777777" w:rsidR="006570CD" w:rsidRDefault="00000000">
      <w:pPr>
        <w:pStyle w:val="ListParagraph"/>
        <w:numPr>
          <w:ilvl w:val="0"/>
          <w:numId w:val="1"/>
        </w:numPr>
        <w:spacing w:after="80"/>
      </w:pPr>
      <w:r>
        <w:t>Benchmark &amp; CAPM (04_evaluate_performance.py): builds an equal-weighted market proxy from the same panel, compares the strategy to it, and regresses the long-short spread on market excess returns to isolate alpha.</w:t>
      </w:r>
    </w:p>
    <w:p w14:paraId="38404CB5" w14:textId="77777777" w:rsidR="006570CD" w:rsidRDefault="00000000">
      <w:pPr>
        <w:spacing w:after="160" w:line="276" w:lineRule="auto"/>
      </w:pPr>
      <w:r>
        <w:t xml:space="preserve">The traded portfolio is dollar-neutral and self-financing: </w:t>
      </w:r>
      <w:proofErr w:type="spellStart"/>
      <w:r>
        <w:t>Long_Short_Spread</w:t>
      </w:r>
      <w:proofErr w:type="spellEnd"/>
      <w:r>
        <w:t xml:space="preserve"> = </w:t>
      </w:r>
      <w:proofErr w:type="gramStart"/>
      <w:r>
        <w:t>Return(</w:t>
      </w:r>
      <w:proofErr w:type="gramEnd"/>
      <w:r>
        <w:t xml:space="preserve">Decile 10) − </w:t>
      </w:r>
      <w:proofErr w:type="gramStart"/>
      <w:r>
        <w:t>Return(</w:t>
      </w:r>
      <w:proofErr w:type="gramEnd"/>
      <w:r>
        <w:t>Decile 1). Because it is long one leg and short another of equal notional, it is already an excess return by construction, so no risk-free rate needs to be subtracted from it — only the market benchmark's excess return is computed relative to a 0.3% monthly risk-free assumption.</w:t>
      </w:r>
    </w:p>
    <w:p w14:paraId="15CB7FA4" w14:textId="77777777" w:rsidR="006570CD" w:rsidRDefault="00000000">
      <w:pPr>
        <w:pStyle w:val="Heading1"/>
        <w:pBdr>
          <w:bottom w:val="single" w:sz="6" w:space="4" w:color="1F4E5C"/>
        </w:pBdr>
        <w:spacing w:before="360" w:after="160"/>
      </w:pPr>
      <w:r>
        <w:rPr>
          <w:b/>
          <w:bCs/>
          <w:color w:val="1F4E5C"/>
          <w:sz w:val="28"/>
          <w:szCs w:val="28"/>
        </w:rPr>
        <w:t>4. Backtest Results vs. Buy-and-Hold Benchmark</w:t>
      </w:r>
    </w:p>
    <w:p w14:paraId="3AEC7FC9" w14:textId="77777777" w:rsidR="006570CD" w:rsidRDefault="00000000">
      <w:pPr>
        <w:spacing w:after="160" w:line="276" w:lineRule="auto"/>
      </w:pPr>
      <w:r>
        <w:t>The market benchmark is an equal-weighted proxy built from the one-month-forward returns of the same underlying panel (i.e., the broad average return of the same S&amp;P 500 universe), rather than a fixed 60/40 or index fund import — keeping the comparison internally consistent with the same data and survivorship treatment.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50"/>
      </w:tblGrid>
      <w:tr w:rsidR="006570CD" w14:paraId="74F67F22" w14:textId="77777777">
        <w:tblPrEx>
          <w:tblCellMar>
            <w:top w:w="0" w:type="dxa"/>
            <w:bottom w:w="0" w:type="dxa"/>
          </w:tblCellMar>
        </w:tblPrEx>
        <w:trPr>
          <w:tblHeader/>
        </w:trPr>
        <w:tc>
          <w:tcPr>
            <w:tcW w:w="3400" w:type="dxa"/>
            <w:shd w:val="clear" w:color="auto" w:fill="1F4E5C"/>
            <w:tcMar>
              <w:top w:w="80" w:type="dxa"/>
              <w:left w:w="120" w:type="dxa"/>
              <w:bottom w:w="80" w:type="dxa"/>
              <w:right w:w="120" w:type="dxa"/>
            </w:tcMar>
          </w:tcPr>
          <w:p w14:paraId="1DEF0741" w14:textId="77777777" w:rsidR="006570CD" w:rsidRDefault="00000000">
            <w:r>
              <w:rPr>
                <w:b/>
                <w:bCs/>
                <w:color w:val="FFFFFF"/>
                <w:sz w:val="20"/>
                <w:szCs w:val="20"/>
              </w:rPr>
              <w:t>Metric</w:t>
            </w:r>
          </w:p>
        </w:tc>
        <w:tc>
          <w:tcPr>
            <w:tcW w:w="3000" w:type="dxa"/>
            <w:shd w:val="clear" w:color="auto" w:fill="1F4E5C"/>
            <w:tcMar>
              <w:top w:w="80" w:type="dxa"/>
              <w:left w:w="120" w:type="dxa"/>
              <w:bottom w:w="80" w:type="dxa"/>
              <w:right w:w="120" w:type="dxa"/>
            </w:tcMar>
          </w:tcPr>
          <w:p w14:paraId="75F61C28" w14:textId="77777777" w:rsidR="006570CD" w:rsidRDefault="00000000">
            <w:pPr>
              <w:jc w:val="center"/>
            </w:pPr>
            <w:r>
              <w:rPr>
                <w:b/>
                <w:bCs/>
                <w:color w:val="FFFFFF"/>
                <w:sz w:val="20"/>
                <w:szCs w:val="20"/>
              </w:rPr>
              <w:t>L/S Momentum Strategy</w:t>
            </w:r>
          </w:p>
        </w:tc>
        <w:tc>
          <w:tcPr>
            <w:tcW w:w="2950" w:type="dxa"/>
            <w:shd w:val="clear" w:color="auto" w:fill="1F4E5C"/>
            <w:tcMar>
              <w:top w:w="80" w:type="dxa"/>
              <w:left w:w="120" w:type="dxa"/>
              <w:bottom w:w="80" w:type="dxa"/>
              <w:right w:w="120" w:type="dxa"/>
            </w:tcMar>
          </w:tcPr>
          <w:p w14:paraId="7DA318AC" w14:textId="77777777" w:rsidR="006570CD" w:rsidRDefault="00000000">
            <w:pPr>
              <w:jc w:val="center"/>
            </w:pPr>
            <w:r>
              <w:rPr>
                <w:b/>
                <w:bCs/>
                <w:color w:val="FFFFFF"/>
                <w:sz w:val="20"/>
                <w:szCs w:val="20"/>
              </w:rPr>
              <w:t>S&amp;P 500 / Market Proxy</w:t>
            </w:r>
          </w:p>
        </w:tc>
      </w:tr>
      <w:tr w:rsidR="006570CD" w14:paraId="11E252B2" w14:textId="77777777">
        <w:tblPrEx>
          <w:tblCellMar>
            <w:top w:w="0" w:type="dxa"/>
            <w:bottom w:w="0" w:type="dxa"/>
          </w:tblCellMar>
        </w:tblPrEx>
        <w:tc>
          <w:tcPr>
            <w:tcW w:w="3400" w:type="dxa"/>
            <w:shd w:val="clear" w:color="auto" w:fill="FFFFFF"/>
            <w:tcMar>
              <w:top w:w="80" w:type="dxa"/>
              <w:left w:w="120" w:type="dxa"/>
              <w:bottom w:w="80" w:type="dxa"/>
              <w:right w:w="120" w:type="dxa"/>
            </w:tcMar>
          </w:tcPr>
          <w:p w14:paraId="2F7836E9" w14:textId="77777777" w:rsidR="006570CD" w:rsidRDefault="00000000">
            <w:r>
              <w:rPr>
                <w:color w:val="000000"/>
                <w:sz w:val="20"/>
                <w:szCs w:val="20"/>
              </w:rPr>
              <w:t>Annualized Return</w:t>
            </w:r>
          </w:p>
        </w:tc>
        <w:tc>
          <w:tcPr>
            <w:tcW w:w="3000" w:type="dxa"/>
            <w:shd w:val="clear" w:color="auto" w:fill="FFFFFF"/>
            <w:tcMar>
              <w:top w:w="80" w:type="dxa"/>
              <w:left w:w="120" w:type="dxa"/>
              <w:bottom w:w="80" w:type="dxa"/>
              <w:right w:w="120" w:type="dxa"/>
            </w:tcMar>
          </w:tcPr>
          <w:p w14:paraId="31DF505A" w14:textId="77777777" w:rsidR="006570CD" w:rsidRDefault="00000000">
            <w:pPr>
              <w:jc w:val="center"/>
            </w:pPr>
            <w:r>
              <w:rPr>
                <w:color w:val="000000"/>
                <w:sz w:val="20"/>
                <w:szCs w:val="20"/>
              </w:rPr>
              <w:t>-2.66%</w:t>
            </w:r>
          </w:p>
        </w:tc>
        <w:tc>
          <w:tcPr>
            <w:tcW w:w="2950" w:type="dxa"/>
            <w:shd w:val="clear" w:color="auto" w:fill="FFFFFF"/>
            <w:tcMar>
              <w:top w:w="80" w:type="dxa"/>
              <w:left w:w="120" w:type="dxa"/>
              <w:bottom w:w="80" w:type="dxa"/>
              <w:right w:w="120" w:type="dxa"/>
            </w:tcMar>
          </w:tcPr>
          <w:p w14:paraId="5F1A6004" w14:textId="77777777" w:rsidR="006570CD" w:rsidRDefault="00000000">
            <w:pPr>
              <w:jc w:val="center"/>
            </w:pPr>
            <w:r>
              <w:rPr>
                <w:color w:val="000000"/>
                <w:sz w:val="20"/>
                <w:szCs w:val="20"/>
              </w:rPr>
              <w:t>10.20%</w:t>
            </w:r>
          </w:p>
        </w:tc>
      </w:tr>
      <w:tr w:rsidR="006570CD" w14:paraId="2B76C0FA" w14:textId="77777777">
        <w:tblPrEx>
          <w:tblCellMar>
            <w:top w:w="0" w:type="dxa"/>
            <w:bottom w:w="0" w:type="dxa"/>
          </w:tblCellMar>
        </w:tblPrEx>
        <w:tc>
          <w:tcPr>
            <w:tcW w:w="3400" w:type="dxa"/>
            <w:shd w:val="clear" w:color="auto" w:fill="FFFFFF"/>
            <w:tcMar>
              <w:top w:w="80" w:type="dxa"/>
              <w:left w:w="120" w:type="dxa"/>
              <w:bottom w:w="80" w:type="dxa"/>
              <w:right w:w="120" w:type="dxa"/>
            </w:tcMar>
          </w:tcPr>
          <w:p w14:paraId="328B36F4" w14:textId="77777777" w:rsidR="006570CD" w:rsidRDefault="00000000">
            <w:r>
              <w:rPr>
                <w:color w:val="000000"/>
                <w:sz w:val="20"/>
                <w:szCs w:val="20"/>
              </w:rPr>
              <w:t>Annualized Volatility</w:t>
            </w:r>
          </w:p>
        </w:tc>
        <w:tc>
          <w:tcPr>
            <w:tcW w:w="3000" w:type="dxa"/>
            <w:shd w:val="clear" w:color="auto" w:fill="FFFFFF"/>
            <w:tcMar>
              <w:top w:w="80" w:type="dxa"/>
              <w:left w:w="120" w:type="dxa"/>
              <w:bottom w:w="80" w:type="dxa"/>
              <w:right w:w="120" w:type="dxa"/>
            </w:tcMar>
          </w:tcPr>
          <w:p w14:paraId="21C802A3" w14:textId="77777777" w:rsidR="006570CD" w:rsidRDefault="00000000">
            <w:pPr>
              <w:jc w:val="center"/>
            </w:pPr>
            <w:r>
              <w:rPr>
                <w:color w:val="000000"/>
                <w:sz w:val="20"/>
                <w:szCs w:val="20"/>
              </w:rPr>
              <w:t>24.83%</w:t>
            </w:r>
          </w:p>
        </w:tc>
        <w:tc>
          <w:tcPr>
            <w:tcW w:w="2950" w:type="dxa"/>
            <w:shd w:val="clear" w:color="auto" w:fill="FFFFFF"/>
            <w:tcMar>
              <w:top w:w="80" w:type="dxa"/>
              <w:left w:w="120" w:type="dxa"/>
              <w:bottom w:w="80" w:type="dxa"/>
              <w:right w:w="120" w:type="dxa"/>
            </w:tcMar>
          </w:tcPr>
          <w:p w14:paraId="1119F272" w14:textId="77777777" w:rsidR="006570CD" w:rsidRDefault="00000000">
            <w:pPr>
              <w:jc w:val="center"/>
            </w:pPr>
            <w:r>
              <w:rPr>
                <w:color w:val="000000"/>
                <w:sz w:val="20"/>
                <w:szCs w:val="20"/>
              </w:rPr>
              <w:t>17.61%</w:t>
            </w:r>
          </w:p>
        </w:tc>
      </w:tr>
      <w:tr w:rsidR="006570CD" w14:paraId="6AD44035" w14:textId="77777777">
        <w:tblPrEx>
          <w:tblCellMar>
            <w:top w:w="0" w:type="dxa"/>
            <w:bottom w:w="0" w:type="dxa"/>
          </w:tblCellMar>
        </w:tblPrEx>
        <w:tc>
          <w:tcPr>
            <w:tcW w:w="3400" w:type="dxa"/>
            <w:shd w:val="clear" w:color="auto" w:fill="FFFFFF"/>
            <w:tcMar>
              <w:top w:w="80" w:type="dxa"/>
              <w:left w:w="120" w:type="dxa"/>
              <w:bottom w:w="80" w:type="dxa"/>
              <w:right w:w="120" w:type="dxa"/>
            </w:tcMar>
          </w:tcPr>
          <w:p w14:paraId="05D60E31" w14:textId="77777777" w:rsidR="006570CD" w:rsidRDefault="00000000">
            <w:r>
              <w:rPr>
                <w:color w:val="000000"/>
                <w:sz w:val="20"/>
                <w:szCs w:val="20"/>
              </w:rPr>
              <w:t>Sharpe Ratio</w:t>
            </w:r>
          </w:p>
        </w:tc>
        <w:tc>
          <w:tcPr>
            <w:tcW w:w="3000" w:type="dxa"/>
            <w:shd w:val="clear" w:color="auto" w:fill="FFFFFF"/>
            <w:tcMar>
              <w:top w:w="80" w:type="dxa"/>
              <w:left w:w="120" w:type="dxa"/>
              <w:bottom w:w="80" w:type="dxa"/>
              <w:right w:w="120" w:type="dxa"/>
            </w:tcMar>
          </w:tcPr>
          <w:p w14:paraId="7FEB1955" w14:textId="77777777" w:rsidR="006570CD" w:rsidRDefault="00000000">
            <w:pPr>
              <w:jc w:val="center"/>
            </w:pPr>
            <w:r>
              <w:rPr>
                <w:color w:val="000000"/>
                <w:sz w:val="20"/>
                <w:szCs w:val="20"/>
              </w:rPr>
              <w:t>-0.11</w:t>
            </w:r>
          </w:p>
        </w:tc>
        <w:tc>
          <w:tcPr>
            <w:tcW w:w="2950" w:type="dxa"/>
            <w:shd w:val="clear" w:color="auto" w:fill="FFFFFF"/>
            <w:tcMar>
              <w:top w:w="80" w:type="dxa"/>
              <w:left w:w="120" w:type="dxa"/>
              <w:bottom w:w="80" w:type="dxa"/>
              <w:right w:w="120" w:type="dxa"/>
            </w:tcMar>
          </w:tcPr>
          <w:p w14:paraId="7937C02C" w14:textId="77777777" w:rsidR="006570CD" w:rsidRDefault="00000000">
            <w:pPr>
              <w:jc w:val="center"/>
            </w:pPr>
            <w:r>
              <w:rPr>
                <w:color w:val="000000"/>
                <w:sz w:val="20"/>
                <w:szCs w:val="20"/>
              </w:rPr>
              <w:t>0.37</w:t>
            </w:r>
          </w:p>
        </w:tc>
      </w:tr>
    </w:tbl>
    <w:p w14:paraId="6BB02491" w14:textId="77777777" w:rsidR="006570CD" w:rsidRDefault="006570CD">
      <w:pPr>
        <w:spacing w:after="160" w:line="276" w:lineRule="auto"/>
      </w:pPr>
    </w:p>
    <w:p w14:paraId="5F77BD7E" w14:textId="77777777" w:rsidR="006570CD" w:rsidRDefault="00000000">
      <w:pPr>
        <w:spacing w:after="160" w:line="276" w:lineRule="auto"/>
      </w:pPr>
      <w:r>
        <w:t>On every dimension the momentum long-short spread underperformed simply holding the market over 2000–2024: it lost money on average, it did so with roughly 40% more volatility than the market, and its Sharpe ratio was negative. This is a materially weaker outcome than the historical momentum premium documented in the original US academic literature (which typically covers 1927–2000-ish samples), and is consistent with a well-known finding in the post-2000 / post-financial-crisis literature that momentum has been considerably less reliable and has suffered severe, sudden “crashes” (most famously in 2009), particularly when restricted to a large-cap universe like the S&amp;P 500 rather than the full CRSP cross-section.</w:t>
      </w:r>
    </w:p>
    <w:p w14:paraId="0DB14131" w14:textId="77777777" w:rsidR="009C51B8" w:rsidRDefault="009C51B8">
      <w:pPr>
        <w:rPr>
          <w:b/>
          <w:bCs/>
          <w:color w:val="1F4E5C"/>
          <w:sz w:val="28"/>
          <w:szCs w:val="28"/>
        </w:rPr>
      </w:pPr>
      <w:r>
        <w:rPr>
          <w:b/>
          <w:bCs/>
          <w:color w:val="1F4E5C"/>
          <w:sz w:val="28"/>
          <w:szCs w:val="28"/>
        </w:rPr>
        <w:br w:type="page"/>
      </w:r>
    </w:p>
    <w:p w14:paraId="0FAD7D7E" w14:textId="45529F2C" w:rsidR="006570CD" w:rsidRDefault="00000000">
      <w:pPr>
        <w:pStyle w:val="Heading1"/>
        <w:pBdr>
          <w:bottom w:val="single" w:sz="6" w:space="4" w:color="1F4E5C"/>
        </w:pBdr>
        <w:spacing w:before="360" w:after="160"/>
      </w:pPr>
      <w:r>
        <w:rPr>
          <w:b/>
          <w:bCs/>
          <w:color w:val="1F4E5C"/>
          <w:sz w:val="28"/>
          <w:szCs w:val="28"/>
        </w:rPr>
        <w:lastRenderedPageBreak/>
        <w:t>5. Isolating Alpha from Beta: CAPM Regression</w:t>
      </w:r>
    </w:p>
    <w:p w14:paraId="0DB401C6" w14:textId="77777777" w:rsidR="006570CD" w:rsidRDefault="00000000">
      <w:pPr>
        <w:spacing w:after="160" w:line="276" w:lineRule="auto"/>
      </w:pPr>
      <w:r>
        <w:t>The core test regresses the strategy's monthly excess return on the market's monthly excess return:</w:t>
      </w:r>
    </w:p>
    <w:p w14:paraId="4DB4C8D8" w14:textId="77777777" w:rsidR="006570CD" w:rsidRDefault="00000000">
      <w:pPr>
        <w:spacing w:after="160" w:line="276" w:lineRule="auto"/>
      </w:pPr>
      <w:r>
        <w:rPr>
          <w:b/>
          <w:bCs/>
          <w:i/>
          <w:iCs/>
        </w:rPr>
        <w:t>Rp − Rf = α + β (Rm − Rf) + ε</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70"/>
      </w:tblGrid>
      <w:tr w:rsidR="006570CD" w14:paraId="5B1A2B4A" w14:textId="77777777">
        <w:tblPrEx>
          <w:tblCellMar>
            <w:top w:w="0" w:type="dxa"/>
            <w:bottom w:w="0" w:type="dxa"/>
          </w:tblCellMar>
        </w:tblPrEx>
        <w:trPr>
          <w:tblHeader/>
        </w:trPr>
        <w:tc>
          <w:tcPr>
            <w:tcW w:w="4680" w:type="dxa"/>
            <w:shd w:val="clear" w:color="auto" w:fill="1F4E5C"/>
            <w:tcMar>
              <w:top w:w="80" w:type="dxa"/>
              <w:left w:w="120" w:type="dxa"/>
              <w:bottom w:w="80" w:type="dxa"/>
              <w:right w:w="120" w:type="dxa"/>
            </w:tcMar>
          </w:tcPr>
          <w:p w14:paraId="2B89DDFD" w14:textId="77777777" w:rsidR="006570CD" w:rsidRDefault="00000000">
            <w:r>
              <w:rPr>
                <w:b/>
                <w:bCs/>
                <w:color w:val="FFFFFF"/>
                <w:sz w:val="20"/>
                <w:szCs w:val="20"/>
              </w:rPr>
              <w:t>Quantity</w:t>
            </w:r>
          </w:p>
        </w:tc>
        <w:tc>
          <w:tcPr>
            <w:tcW w:w="4670" w:type="dxa"/>
            <w:shd w:val="clear" w:color="auto" w:fill="1F4E5C"/>
            <w:tcMar>
              <w:top w:w="80" w:type="dxa"/>
              <w:left w:w="120" w:type="dxa"/>
              <w:bottom w:w="80" w:type="dxa"/>
              <w:right w:w="120" w:type="dxa"/>
            </w:tcMar>
          </w:tcPr>
          <w:p w14:paraId="6315EC61" w14:textId="77777777" w:rsidR="006570CD" w:rsidRDefault="00000000">
            <w:pPr>
              <w:jc w:val="center"/>
            </w:pPr>
            <w:r>
              <w:rPr>
                <w:b/>
                <w:bCs/>
                <w:color w:val="FFFFFF"/>
                <w:sz w:val="20"/>
                <w:szCs w:val="20"/>
              </w:rPr>
              <w:t>Estimate</w:t>
            </w:r>
          </w:p>
        </w:tc>
      </w:tr>
      <w:tr w:rsidR="006570CD" w14:paraId="2D0A880B"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15FB9EDC" w14:textId="77777777" w:rsidR="006570CD" w:rsidRDefault="00000000">
            <w:r>
              <w:rPr>
                <w:color w:val="000000"/>
                <w:sz w:val="20"/>
                <w:szCs w:val="20"/>
              </w:rPr>
              <w:t>Annualized Alpha (α)</w:t>
            </w:r>
          </w:p>
        </w:tc>
        <w:tc>
          <w:tcPr>
            <w:tcW w:w="4670" w:type="dxa"/>
            <w:shd w:val="clear" w:color="auto" w:fill="FFFFFF"/>
            <w:tcMar>
              <w:top w:w="80" w:type="dxa"/>
              <w:left w:w="120" w:type="dxa"/>
              <w:bottom w:w="80" w:type="dxa"/>
              <w:right w:w="120" w:type="dxa"/>
            </w:tcMar>
          </w:tcPr>
          <w:p w14:paraId="710A23C1" w14:textId="77777777" w:rsidR="006570CD" w:rsidRDefault="00000000">
            <w:pPr>
              <w:jc w:val="center"/>
            </w:pPr>
            <w:r>
              <w:rPr>
                <w:color w:val="000000"/>
                <w:sz w:val="20"/>
                <w:szCs w:val="20"/>
              </w:rPr>
              <w:t>+3.06%</w:t>
            </w:r>
          </w:p>
        </w:tc>
      </w:tr>
      <w:tr w:rsidR="006570CD" w14:paraId="2C811444"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811DB40" w14:textId="77777777" w:rsidR="006570CD" w:rsidRDefault="00000000">
            <w:r>
              <w:rPr>
                <w:color w:val="000000"/>
                <w:sz w:val="20"/>
                <w:szCs w:val="20"/>
              </w:rPr>
              <w:t>Market Beta (β)</w:t>
            </w:r>
          </w:p>
        </w:tc>
        <w:tc>
          <w:tcPr>
            <w:tcW w:w="4670" w:type="dxa"/>
            <w:shd w:val="clear" w:color="auto" w:fill="FFFFFF"/>
            <w:tcMar>
              <w:top w:w="80" w:type="dxa"/>
              <w:left w:w="120" w:type="dxa"/>
              <w:bottom w:w="80" w:type="dxa"/>
              <w:right w:w="120" w:type="dxa"/>
            </w:tcMar>
          </w:tcPr>
          <w:p w14:paraId="3014E424" w14:textId="77777777" w:rsidR="006570CD" w:rsidRDefault="00000000">
            <w:pPr>
              <w:jc w:val="center"/>
            </w:pPr>
            <w:r>
              <w:rPr>
                <w:color w:val="000000"/>
                <w:sz w:val="20"/>
                <w:szCs w:val="20"/>
              </w:rPr>
              <w:t>-0.7408</w:t>
            </w:r>
          </w:p>
        </w:tc>
      </w:tr>
      <w:tr w:rsidR="006570CD" w14:paraId="6288D5EA"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6EF350B6" w14:textId="77777777" w:rsidR="006570CD" w:rsidRDefault="00000000">
            <w:r>
              <w:rPr>
                <w:color w:val="000000"/>
                <w:sz w:val="20"/>
                <w:szCs w:val="20"/>
              </w:rPr>
              <w:t>Alpha t-statistic</w:t>
            </w:r>
          </w:p>
        </w:tc>
        <w:tc>
          <w:tcPr>
            <w:tcW w:w="4670" w:type="dxa"/>
            <w:shd w:val="clear" w:color="auto" w:fill="FFFFFF"/>
            <w:tcMar>
              <w:top w:w="80" w:type="dxa"/>
              <w:left w:w="120" w:type="dxa"/>
              <w:bottom w:w="80" w:type="dxa"/>
              <w:right w:w="120" w:type="dxa"/>
            </w:tcMar>
          </w:tcPr>
          <w:p w14:paraId="076C586C" w14:textId="77777777" w:rsidR="006570CD" w:rsidRDefault="00000000">
            <w:pPr>
              <w:jc w:val="center"/>
            </w:pPr>
            <w:r>
              <w:rPr>
                <w:color w:val="000000"/>
                <w:sz w:val="20"/>
                <w:szCs w:val="20"/>
              </w:rPr>
              <w:t>0.70</w:t>
            </w:r>
          </w:p>
        </w:tc>
      </w:tr>
      <w:tr w:rsidR="006570CD" w14:paraId="26A5A42E"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36835211" w14:textId="77777777" w:rsidR="006570CD" w:rsidRDefault="00000000">
            <w:r>
              <w:rPr>
                <w:color w:val="000000"/>
                <w:sz w:val="20"/>
                <w:szCs w:val="20"/>
              </w:rPr>
              <w:t>Alpha p-value</w:t>
            </w:r>
          </w:p>
        </w:tc>
        <w:tc>
          <w:tcPr>
            <w:tcW w:w="4670" w:type="dxa"/>
            <w:shd w:val="clear" w:color="auto" w:fill="FFFFFF"/>
            <w:tcMar>
              <w:top w:w="80" w:type="dxa"/>
              <w:left w:w="120" w:type="dxa"/>
              <w:bottom w:w="80" w:type="dxa"/>
              <w:right w:w="120" w:type="dxa"/>
            </w:tcMar>
          </w:tcPr>
          <w:p w14:paraId="66F02AC5" w14:textId="77777777" w:rsidR="006570CD" w:rsidRDefault="00000000">
            <w:pPr>
              <w:jc w:val="center"/>
            </w:pPr>
            <w:r>
              <w:rPr>
                <w:color w:val="000000"/>
                <w:sz w:val="20"/>
                <w:szCs w:val="20"/>
              </w:rPr>
              <w:t>0.4836</w:t>
            </w:r>
          </w:p>
        </w:tc>
      </w:tr>
      <w:tr w:rsidR="006570CD" w14:paraId="60423A22"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3B983FAB" w14:textId="77777777" w:rsidR="006570CD" w:rsidRDefault="00000000">
            <w:r>
              <w:rPr>
                <w:color w:val="000000"/>
                <w:sz w:val="20"/>
                <w:szCs w:val="20"/>
              </w:rPr>
              <w:t>Decision (5% level)</w:t>
            </w:r>
          </w:p>
        </w:tc>
        <w:tc>
          <w:tcPr>
            <w:tcW w:w="4670" w:type="dxa"/>
            <w:shd w:val="clear" w:color="auto" w:fill="FFFFFF"/>
            <w:tcMar>
              <w:top w:w="80" w:type="dxa"/>
              <w:left w:w="120" w:type="dxa"/>
              <w:bottom w:w="80" w:type="dxa"/>
              <w:right w:w="120" w:type="dxa"/>
            </w:tcMar>
          </w:tcPr>
          <w:p w14:paraId="5ACF5D7C" w14:textId="77777777" w:rsidR="006570CD" w:rsidRDefault="00000000">
            <w:pPr>
              <w:jc w:val="center"/>
            </w:pPr>
            <w:r>
              <w:rPr>
                <w:color w:val="000000"/>
                <w:sz w:val="20"/>
                <w:szCs w:val="20"/>
              </w:rPr>
              <w:t>Fail to reject H0: α = 0</w:t>
            </w:r>
          </w:p>
        </w:tc>
      </w:tr>
    </w:tbl>
    <w:p w14:paraId="67BD0D41" w14:textId="77777777" w:rsidR="006570CD" w:rsidRDefault="006570CD">
      <w:pPr>
        <w:spacing w:after="160" w:line="276" w:lineRule="auto"/>
      </w:pPr>
    </w:p>
    <w:p w14:paraId="5AB26DD3" w14:textId="77777777" w:rsidR="006570CD" w:rsidRDefault="00000000">
      <w:pPr>
        <w:pStyle w:val="Heading2"/>
        <w:spacing w:before="240" w:after="120"/>
      </w:pPr>
      <w:r>
        <w:rPr>
          <w:b/>
          <w:bCs/>
          <w:color w:val="1F4E5C"/>
          <w:sz w:val="24"/>
          <w:szCs w:val="24"/>
        </w:rPr>
        <w:t>5.1 Interpreting the alpha</w:t>
      </w:r>
    </w:p>
    <w:p w14:paraId="0A2C111F" w14:textId="77777777" w:rsidR="006570CD" w:rsidRDefault="00000000">
      <w:pPr>
        <w:spacing w:after="160" w:line="276" w:lineRule="auto"/>
      </w:pPr>
      <w:r>
        <w:t>The point estimate of alpha is positive (3.06% a year), which on its face looks like “skill.” But the whole point of the regression is that a point estimate alone proves nothing — it needs to be judged against its own uncertainty. With a t-statistic of only 0.70 (well below the conventional 1.96 threshold for 5% significance) and a p-value of 0.48, this alpha is statistically indistinguishable from zero. In plain terms: if the true alpha were exactly zero, a result at least this large would show up simply by chance roughly 48% of the time. That is not evidence of skill; it is noise. The correct scientific conclusion, and the one the script itself reports, is to fail to reject the null hypothesis of no alpha.</w:t>
      </w:r>
    </w:p>
    <w:p w14:paraId="57998117" w14:textId="77777777" w:rsidR="006570CD" w:rsidRDefault="00000000">
      <w:pPr>
        <w:pStyle w:val="Heading2"/>
        <w:spacing w:before="240" w:after="120"/>
      </w:pPr>
      <w:r>
        <w:rPr>
          <w:b/>
          <w:bCs/>
          <w:color w:val="1F4E5C"/>
          <w:sz w:val="24"/>
          <w:szCs w:val="24"/>
        </w:rPr>
        <w:t>5.2 Interpreting the beta</w:t>
      </w:r>
    </w:p>
    <w:p w14:paraId="36FA3D5A" w14:textId="77777777" w:rsidR="006570CD" w:rsidRDefault="00000000">
      <w:pPr>
        <w:spacing w:after="160" w:line="276" w:lineRule="auto"/>
      </w:pPr>
      <w:r>
        <w:t>The estimated beta of −0.74 is arguably the most interesting number in the whole exercise. A negative beta means the long-short spread tended to move opposite to the market: it performed relatively better in down markets for the broad universe and relatively worse in up markets. This is a recognizable feature of momentum strategies, particularly around sharp market reversals — momentum portfolios can become heavily loaded on the “wrong” side of a V-shaped recovery because the short leg (recent losers) is disproportionately composed of deeply beaten-down, high-beta stocks that then rebound violently, dragging the short leg's returns up and the long-short spread's return down exactly when the market rallies hardest. Over 2000–2024 this sample includes at least two such regime shifts (the 2008–2009 crisis recovery and the 2020 COVID crash/rebound), which is a plausible contributor to both the negative realized return and the negative beta.</w:t>
      </w:r>
    </w:p>
    <w:p w14:paraId="3910720C" w14:textId="77777777" w:rsidR="006570CD" w:rsidRDefault="00000000">
      <w:pPr>
        <w:spacing w:after="160" w:line="276" w:lineRule="auto"/>
      </w:pPr>
      <w:r>
        <w:t>Because beta is large and negative, some of the strategy's poor raw performance is mechanically explained by it being short exposure to a market that, on net, went up over the period — the CAPM regression is precisely what strips that out. The residual, alpha, is what is left over after removing that (negative) market exposure, and it is not significantly different from zero even after that adjustment.</w:t>
      </w:r>
    </w:p>
    <w:p w14:paraId="05C60D81" w14:textId="77777777" w:rsidR="009C51B8" w:rsidRDefault="009C51B8">
      <w:pPr>
        <w:rPr>
          <w:b/>
          <w:bCs/>
          <w:color w:val="1F4E5C"/>
          <w:sz w:val="28"/>
          <w:szCs w:val="28"/>
        </w:rPr>
      </w:pPr>
      <w:r>
        <w:rPr>
          <w:b/>
          <w:bCs/>
          <w:color w:val="1F4E5C"/>
          <w:sz w:val="28"/>
          <w:szCs w:val="28"/>
        </w:rPr>
        <w:br w:type="page"/>
      </w:r>
    </w:p>
    <w:p w14:paraId="46F413B8" w14:textId="641E9EFC" w:rsidR="006570CD" w:rsidRDefault="00000000">
      <w:pPr>
        <w:pStyle w:val="Heading1"/>
        <w:pBdr>
          <w:bottom w:val="single" w:sz="6" w:space="4" w:color="1F4E5C"/>
        </w:pBdr>
        <w:spacing w:before="360" w:after="160"/>
      </w:pPr>
      <w:r>
        <w:rPr>
          <w:b/>
          <w:bCs/>
          <w:color w:val="1F4E5C"/>
          <w:sz w:val="28"/>
          <w:szCs w:val="28"/>
        </w:rPr>
        <w:lastRenderedPageBreak/>
        <w:t>6. Discussion: Skill or Just Market Exposure?</w:t>
      </w:r>
    </w:p>
    <w:p w14:paraId="1CA56020" w14:textId="77777777" w:rsidR="006570CD" w:rsidRDefault="00000000">
      <w:pPr>
        <w:spacing w:after="160" w:line="276" w:lineRule="auto"/>
      </w:pPr>
      <w:r>
        <w:t xml:space="preserve">Putting the pieces together: the strategy's raw underperformance versus buy-and-hold is real, but a large part of the story is explained by an unintended, sizeable negative market beta rather than a repeatable, skill-based return stream. Once that market exposure is controlled for, the residual alpha is positive in sign but statistically weak — consistent with noise rather than genuine, persistent skill in this </w:t>
      </w:r>
      <w:proofErr w:type="gramStart"/>
      <w:r>
        <w:t>particular 2000</w:t>
      </w:r>
      <w:proofErr w:type="gramEnd"/>
      <w:r>
        <w:t>–2024, S&amp;P-500-only implementation.</w:t>
      </w:r>
    </w:p>
    <w:p w14:paraId="0F655CC8" w14:textId="77777777" w:rsidR="006570CD" w:rsidRDefault="00000000">
      <w:pPr>
        <w:spacing w:after="160" w:line="276" w:lineRule="auto"/>
      </w:pPr>
      <w:r>
        <w:t>A few factors likely contribute to the weak result relative to the classic momentum literature:</w:t>
      </w:r>
    </w:p>
    <w:p w14:paraId="3EA51E20" w14:textId="77777777" w:rsidR="006570CD" w:rsidRDefault="00000000">
      <w:pPr>
        <w:pStyle w:val="ListParagraph"/>
        <w:numPr>
          <w:ilvl w:val="0"/>
          <w:numId w:val="1"/>
        </w:numPr>
        <w:spacing w:after="80"/>
      </w:pPr>
      <w:r>
        <w:t>Restricted universe: confining the sort to S&amp;P 500 constituents removes the small-cap, less-liquid names where momentum premia have historically been strongest and most persistent, shrinking both the return and the statistical power of the test.</w:t>
      </w:r>
    </w:p>
    <w:p w14:paraId="5F8197AD" w14:textId="77777777" w:rsidR="006570CD" w:rsidRDefault="00000000">
      <w:pPr>
        <w:pStyle w:val="ListParagraph"/>
        <w:numPr>
          <w:ilvl w:val="0"/>
          <w:numId w:val="1"/>
        </w:numPr>
        <w:spacing w:after="80"/>
      </w:pPr>
      <w:r>
        <w:t>Momentum crash risk: the 2000s and 2010s contained several sharp market reversals in which momentum is known to suffer large, abrupt drawdowns — exactly the dynamic that shows up here as a negative beta.</w:t>
      </w:r>
    </w:p>
    <w:p w14:paraId="09A4B0D3" w14:textId="77777777" w:rsidR="006570CD" w:rsidRDefault="00000000">
      <w:pPr>
        <w:pStyle w:val="ListParagraph"/>
        <w:numPr>
          <w:ilvl w:val="0"/>
          <w:numId w:val="1"/>
        </w:numPr>
        <w:spacing w:after="80"/>
      </w:pPr>
      <w:r>
        <w:t>Sample size / statistical power: 25 years of monthly data is ~300 observations, which is a modest sample for detecting an alpha of a few percent a year against 25% annualized strategy volatility; the true alpha could be non-</w:t>
      </w:r>
      <w:proofErr w:type="gramStart"/>
      <w:r>
        <w:t>zero</w:t>
      </w:r>
      <w:proofErr w:type="gramEnd"/>
      <w:r>
        <w:t xml:space="preserve"> but this test simply lacks the power to detect it precisely.</w:t>
      </w:r>
    </w:p>
    <w:p w14:paraId="0E20547D" w14:textId="77777777" w:rsidR="006570CD" w:rsidRDefault="00000000">
      <w:pPr>
        <w:pStyle w:val="ListParagraph"/>
        <w:numPr>
          <w:ilvl w:val="0"/>
          <w:numId w:val="1"/>
        </w:numPr>
        <w:spacing w:after="80"/>
      </w:pPr>
      <w:r>
        <w:t>No transaction costs or turnover modeled: decile momentum portfolios typically have high monthly turnover; each script computes gross returns only, so real-world implementation costs (spread, market impact, shorting costs on Decile 1 names) would likely push realized performance even lower than reported here.</w:t>
      </w:r>
    </w:p>
    <w:p w14:paraId="0955FDFB" w14:textId="77777777" w:rsidR="006570CD" w:rsidRDefault="00000000">
      <w:pPr>
        <w:pStyle w:val="Heading1"/>
        <w:pBdr>
          <w:bottom w:val="single" w:sz="6" w:space="4" w:color="1F4E5C"/>
        </w:pBdr>
        <w:spacing w:before="360" w:after="160"/>
      </w:pPr>
      <w:r>
        <w:rPr>
          <w:b/>
          <w:bCs/>
          <w:color w:val="1F4E5C"/>
          <w:sz w:val="28"/>
          <w:szCs w:val="28"/>
        </w:rPr>
        <w:t>7. Limitations &amp; Caveats</w:t>
      </w:r>
    </w:p>
    <w:p w14:paraId="42FD2CFF" w14:textId="77777777" w:rsidR="006570CD" w:rsidRDefault="00000000">
      <w:pPr>
        <w:pStyle w:val="ListParagraph"/>
        <w:numPr>
          <w:ilvl w:val="0"/>
          <w:numId w:val="1"/>
        </w:numPr>
        <w:spacing w:after="80"/>
      </w:pPr>
      <w:r>
        <w:t>Single-factor CAPM only: the regression uses the market factor alone. A multi-factor model (e.g., Fama-French 3/5-factor plus a momentum control, or at minimum controlling for size/value tilts induced by the S&amp;P 500 restriction) could shrink or reallocate the estimated alpha further.</w:t>
      </w:r>
    </w:p>
    <w:p w14:paraId="05B40FED" w14:textId="77777777" w:rsidR="006570CD" w:rsidRDefault="00000000">
      <w:pPr>
        <w:pStyle w:val="ListParagraph"/>
        <w:numPr>
          <w:ilvl w:val="0"/>
          <w:numId w:val="1"/>
        </w:numPr>
        <w:spacing w:after="80"/>
      </w:pPr>
      <w:r>
        <w:t>Equal-weighted market proxy: the benchmark is constructed as the equal-weighted average forward return of the same underlying panel, not a capitalization-weighted S&amp;P 500 index return; this is a reasonable internal control but is not identical to “buying the S&amp;P 500 index.”</w:t>
      </w:r>
    </w:p>
    <w:p w14:paraId="67D3B00B" w14:textId="77777777" w:rsidR="006570CD" w:rsidRDefault="00000000">
      <w:pPr>
        <w:pStyle w:val="ListParagraph"/>
        <w:numPr>
          <w:ilvl w:val="0"/>
          <w:numId w:val="1"/>
        </w:numPr>
        <w:spacing w:after="80"/>
      </w:pPr>
      <w:r>
        <w:t>Risk-free rate assumed constant at 0.3%/month rather than pulled from a time series (e.g., 1-month T-bill), which will slightly misstate the market's excess return in periods when rates were near zero or elevated (e.g., 2020–2021 vs. 2022–2024).</w:t>
      </w:r>
    </w:p>
    <w:p w14:paraId="3F1571A2" w14:textId="77777777" w:rsidR="006570CD" w:rsidRDefault="00000000">
      <w:pPr>
        <w:pStyle w:val="ListParagraph"/>
        <w:numPr>
          <w:ilvl w:val="0"/>
          <w:numId w:val="1"/>
        </w:numPr>
        <w:spacing w:after="80"/>
      </w:pPr>
      <w:r>
        <w:t>No costs, slippage, shorting fees, or capacity constraints are modeled; a decile long-short strategy's paper returns are always an upper bound on what is realistically achievable.</w:t>
      </w:r>
    </w:p>
    <w:p w14:paraId="34B53350" w14:textId="77777777" w:rsidR="006570CD" w:rsidRDefault="00000000">
      <w:pPr>
        <w:pStyle w:val="ListParagraph"/>
        <w:numPr>
          <w:ilvl w:val="0"/>
          <w:numId w:val="1"/>
        </w:numPr>
        <w:spacing w:after="80"/>
      </w:pPr>
      <w:r>
        <w:t>Survivorship and look-ahead bias in index membership are substantially mitigated — the universe is built point-in-time from historical constituent snapshots (not backfilled from today's roster), tickers are resolved to PERMNOs within their historically valid date ranges, and delisting returns are folded into realized performance. The residual exposure is data-quality risk in the source constituent-changes CSV itself (e.g., any gaps or errors in that file propagate directly into the PIT universe) rather than a methodological survivorship-bias flaw in the code.</w:t>
      </w:r>
    </w:p>
    <w:p w14:paraId="1A3A3539" w14:textId="77777777" w:rsidR="00EF7AD7" w:rsidRDefault="00EF7AD7">
      <w:pPr>
        <w:rPr>
          <w:b/>
          <w:bCs/>
          <w:color w:val="1F4E5C"/>
          <w:sz w:val="28"/>
          <w:szCs w:val="28"/>
        </w:rPr>
      </w:pPr>
      <w:r>
        <w:rPr>
          <w:b/>
          <w:bCs/>
          <w:color w:val="1F4E5C"/>
          <w:sz w:val="28"/>
          <w:szCs w:val="28"/>
        </w:rPr>
        <w:br w:type="page"/>
      </w:r>
    </w:p>
    <w:p w14:paraId="267E4746" w14:textId="4BABD5E9" w:rsidR="006570CD" w:rsidRDefault="00000000">
      <w:pPr>
        <w:pStyle w:val="Heading1"/>
        <w:pBdr>
          <w:bottom w:val="single" w:sz="6" w:space="4" w:color="1F4E5C"/>
        </w:pBdr>
        <w:spacing w:before="360" w:after="160"/>
      </w:pPr>
      <w:r>
        <w:rPr>
          <w:b/>
          <w:bCs/>
          <w:color w:val="1F4E5C"/>
          <w:sz w:val="28"/>
          <w:szCs w:val="28"/>
        </w:rPr>
        <w:lastRenderedPageBreak/>
        <w:t>8. Conclusion</w:t>
      </w:r>
    </w:p>
    <w:p w14:paraId="55811FA5" w14:textId="77777777" w:rsidR="006570CD" w:rsidRDefault="00000000">
      <w:pPr>
        <w:spacing w:after="160" w:line="276" w:lineRule="auto"/>
      </w:pPr>
      <w:r>
        <w:t xml:space="preserve">Applying the assignment's core test — Rp − Rf = α + </w:t>
      </w:r>
      <w:proofErr w:type="gramStart"/>
      <w:r>
        <w:t>β(</w:t>
      </w:r>
      <w:proofErr w:type="gramEnd"/>
      <w:r>
        <w:t>Rm − Rf) + ε — to a 12-1 cross-sectional momentum strategy on S&amp;P 500 names from 2000 to 2024 does not support a claim of real alpha. The strategy underperformed a simple buy-and-hold benchmark on a raw basis, carried a large and economically meaningful negative beta, and produced a CAPM alpha that, while positive in point estimate (+3.06% annualized), fails standard significance tests (t = 0.70, p = 0.48). The honest conclusion — and the one that matters most for the assignment's central question — is that this strategy's historical performance in this sample looks like unrewarded market-timing exposure and statistical noise rather than repeatable manager skill. β, not α, is the dominant story here.</w:t>
      </w:r>
    </w:p>
    <w:p w14:paraId="55A7E743" w14:textId="77777777" w:rsidR="006570CD" w:rsidRDefault="00000000">
      <w:pPr>
        <w:spacing w:after="160" w:line="276" w:lineRule="auto"/>
      </w:pPr>
      <w:r>
        <w:rPr>
          <w:i/>
          <w:iCs/>
        </w:rPr>
        <w:t xml:space="preserve">This is, in fact, a useful and realistic result to report: much of the value of the alpha/beta decomposition framework is precisely in identifying strategies that look interesting on the surface (or, in this case, simply look like a losing strategy) but whose true driver is market exposure rather than skill — and in avoiding overconfident claims of alpha from a single, modest-power </w:t>
      </w:r>
      <w:proofErr w:type="spellStart"/>
      <w:r>
        <w:rPr>
          <w:i/>
          <w:iCs/>
        </w:rPr>
        <w:t>backtest</w:t>
      </w:r>
      <w:proofErr w:type="spellEnd"/>
      <w:r>
        <w:rPr>
          <w:i/>
          <w:iCs/>
        </w:rPr>
        <w:t>.</w:t>
      </w:r>
    </w:p>
    <w:p w14:paraId="255FEBE1" w14:textId="77777777" w:rsidR="006570CD" w:rsidRDefault="00000000">
      <w:pPr>
        <w:pStyle w:val="Heading1"/>
        <w:pBdr>
          <w:bottom w:val="single" w:sz="6" w:space="4" w:color="1F4E5C"/>
        </w:pBdr>
        <w:spacing w:before="360" w:after="160"/>
      </w:pPr>
      <w:r>
        <w:rPr>
          <w:b/>
          <w:bCs/>
          <w:color w:val="1F4E5C"/>
          <w:sz w:val="28"/>
          <w:szCs w:val="28"/>
        </w:rPr>
        <w:t>9. Appendix: Full Pipeline Reference</w:t>
      </w:r>
    </w:p>
    <w:p w14:paraId="6BE8D7D9" w14:textId="77777777" w:rsidR="006570CD" w:rsidRDefault="00000000">
      <w:pPr>
        <w:spacing w:after="160" w:line="276" w:lineRule="auto"/>
      </w:pPr>
      <w:r>
        <w:t>The seven scripts below run in the causal order shown (note that two scripts share the same 01/02-style prefix across the data-prep and signal-construction stages of the project — the order below reflects actual data dependency, not literal filenames).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3200"/>
        <w:gridCol w:w="4500"/>
      </w:tblGrid>
      <w:tr w:rsidR="006570CD" w14:paraId="2376A3C2" w14:textId="77777777">
        <w:tblPrEx>
          <w:tblCellMar>
            <w:top w:w="0" w:type="dxa"/>
            <w:bottom w:w="0" w:type="dxa"/>
          </w:tblCellMar>
        </w:tblPrEx>
        <w:trPr>
          <w:tblHeader/>
        </w:trPr>
        <w:tc>
          <w:tcPr>
            <w:tcW w:w="1650" w:type="dxa"/>
            <w:shd w:val="clear" w:color="auto" w:fill="1F4E5C"/>
            <w:tcMar>
              <w:top w:w="80" w:type="dxa"/>
              <w:left w:w="120" w:type="dxa"/>
              <w:bottom w:w="80" w:type="dxa"/>
              <w:right w:w="120" w:type="dxa"/>
            </w:tcMar>
          </w:tcPr>
          <w:p w14:paraId="5EAD9A1D" w14:textId="77777777" w:rsidR="006570CD" w:rsidRDefault="00000000">
            <w:r>
              <w:rPr>
                <w:b/>
                <w:bCs/>
                <w:color w:val="FFFFFF"/>
                <w:sz w:val="20"/>
                <w:szCs w:val="20"/>
              </w:rPr>
              <w:t>Stage</w:t>
            </w:r>
          </w:p>
        </w:tc>
        <w:tc>
          <w:tcPr>
            <w:tcW w:w="3200" w:type="dxa"/>
            <w:shd w:val="clear" w:color="auto" w:fill="1F4E5C"/>
            <w:tcMar>
              <w:top w:w="80" w:type="dxa"/>
              <w:left w:w="120" w:type="dxa"/>
              <w:bottom w:w="80" w:type="dxa"/>
              <w:right w:w="120" w:type="dxa"/>
            </w:tcMar>
          </w:tcPr>
          <w:p w14:paraId="44FE3528" w14:textId="77777777" w:rsidR="006570CD" w:rsidRDefault="00000000">
            <w:pPr>
              <w:jc w:val="center"/>
            </w:pPr>
            <w:r>
              <w:rPr>
                <w:b/>
                <w:bCs/>
                <w:color w:val="FFFFFF"/>
                <w:sz w:val="20"/>
                <w:szCs w:val="20"/>
              </w:rPr>
              <w:t>Script</w:t>
            </w:r>
          </w:p>
        </w:tc>
        <w:tc>
          <w:tcPr>
            <w:tcW w:w="4500" w:type="dxa"/>
            <w:shd w:val="clear" w:color="auto" w:fill="1F4E5C"/>
            <w:tcMar>
              <w:top w:w="80" w:type="dxa"/>
              <w:left w:w="120" w:type="dxa"/>
              <w:bottom w:w="80" w:type="dxa"/>
              <w:right w:w="120" w:type="dxa"/>
            </w:tcMar>
          </w:tcPr>
          <w:p w14:paraId="674A2B93" w14:textId="77777777" w:rsidR="006570CD" w:rsidRDefault="00000000">
            <w:pPr>
              <w:jc w:val="center"/>
            </w:pPr>
            <w:r>
              <w:rPr>
                <w:b/>
                <w:bCs/>
                <w:color w:val="FFFFFF"/>
                <w:sz w:val="20"/>
                <w:szCs w:val="20"/>
              </w:rPr>
              <w:t>Role</w:t>
            </w:r>
          </w:p>
        </w:tc>
      </w:tr>
      <w:tr w:rsidR="006570CD" w14:paraId="7E3AB837"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19751EE6" w14:textId="77777777" w:rsidR="006570CD" w:rsidRDefault="00000000">
            <w:r>
              <w:rPr>
                <w:color w:val="000000"/>
                <w:sz w:val="20"/>
                <w:szCs w:val="20"/>
              </w:rPr>
              <w:t>Data prep 1</w:t>
            </w:r>
          </w:p>
        </w:tc>
        <w:tc>
          <w:tcPr>
            <w:tcW w:w="3200" w:type="dxa"/>
            <w:shd w:val="clear" w:color="auto" w:fill="FFFFFF"/>
            <w:tcMar>
              <w:top w:w="80" w:type="dxa"/>
              <w:left w:w="120" w:type="dxa"/>
              <w:bottom w:w="80" w:type="dxa"/>
              <w:right w:w="120" w:type="dxa"/>
            </w:tcMar>
          </w:tcPr>
          <w:p w14:paraId="3D2F13BA" w14:textId="77777777" w:rsidR="006570CD" w:rsidRDefault="00000000">
            <w:pPr>
              <w:jc w:val="center"/>
            </w:pPr>
            <w:r>
              <w:rPr>
                <w:color w:val="000000"/>
                <w:sz w:val="20"/>
                <w:szCs w:val="20"/>
              </w:rPr>
              <w:t>01_extract_constituents.py</w:t>
            </w:r>
          </w:p>
        </w:tc>
        <w:tc>
          <w:tcPr>
            <w:tcW w:w="4500" w:type="dxa"/>
            <w:shd w:val="clear" w:color="auto" w:fill="FFFFFF"/>
            <w:tcMar>
              <w:top w:w="80" w:type="dxa"/>
              <w:left w:w="120" w:type="dxa"/>
              <w:bottom w:w="80" w:type="dxa"/>
              <w:right w:w="120" w:type="dxa"/>
            </w:tcMar>
          </w:tcPr>
          <w:p w14:paraId="5214ACEC" w14:textId="77777777" w:rsidR="006570CD" w:rsidRDefault="00000000">
            <w:pPr>
              <w:jc w:val="center"/>
            </w:pPr>
            <w:r>
              <w:rPr>
                <w:color w:val="000000"/>
                <w:sz w:val="20"/>
                <w:szCs w:val="20"/>
              </w:rPr>
              <w:t>Builds the point-in-time S&amp;P 500 constituent universe from the historical changes CSV; resolves tickers to CRSP PERMNOs via a date-bounded WRDS join.</w:t>
            </w:r>
          </w:p>
        </w:tc>
      </w:tr>
      <w:tr w:rsidR="006570CD" w14:paraId="6B553796"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2DBA180F" w14:textId="77777777" w:rsidR="006570CD" w:rsidRDefault="00000000">
            <w:r>
              <w:rPr>
                <w:color w:val="000000"/>
                <w:sz w:val="20"/>
                <w:szCs w:val="20"/>
              </w:rPr>
              <w:t>Data prep 2</w:t>
            </w:r>
          </w:p>
        </w:tc>
        <w:tc>
          <w:tcPr>
            <w:tcW w:w="3200" w:type="dxa"/>
            <w:shd w:val="clear" w:color="auto" w:fill="FFFFFF"/>
            <w:tcMar>
              <w:top w:w="80" w:type="dxa"/>
              <w:left w:w="120" w:type="dxa"/>
              <w:bottom w:w="80" w:type="dxa"/>
              <w:right w:w="120" w:type="dxa"/>
            </w:tcMar>
          </w:tcPr>
          <w:p w14:paraId="5739B783" w14:textId="77777777" w:rsidR="006570CD" w:rsidRDefault="00000000">
            <w:pPr>
              <w:jc w:val="center"/>
            </w:pPr>
            <w:r>
              <w:rPr>
                <w:color w:val="000000"/>
                <w:sz w:val="20"/>
                <w:szCs w:val="20"/>
              </w:rPr>
              <w:t>02_compute_signals.py (data-pull stage)</w:t>
            </w:r>
          </w:p>
        </w:tc>
        <w:tc>
          <w:tcPr>
            <w:tcW w:w="4500" w:type="dxa"/>
            <w:shd w:val="clear" w:color="auto" w:fill="FFFFFF"/>
            <w:tcMar>
              <w:top w:w="80" w:type="dxa"/>
              <w:left w:w="120" w:type="dxa"/>
              <w:bottom w:w="80" w:type="dxa"/>
              <w:right w:w="120" w:type="dxa"/>
            </w:tcMar>
          </w:tcPr>
          <w:p w14:paraId="5C42020B" w14:textId="77777777" w:rsidR="006570CD" w:rsidRDefault="00000000">
            <w:pPr>
              <w:jc w:val="center"/>
            </w:pPr>
            <w:r>
              <w:rPr>
                <w:color w:val="000000"/>
                <w:sz w:val="20"/>
                <w:szCs w:val="20"/>
              </w:rPr>
              <w:t>Pulls raw monthly price, return, and delisting return data from CRSP (</w:t>
            </w:r>
            <w:proofErr w:type="spellStart"/>
            <w:r>
              <w:rPr>
                <w:color w:val="000000"/>
                <w:sz w:val="20"/>
                <w:szCs w:val="20"/>
              </w:rPr>
              <w:t>crsp.msf</w:t>
            </w:r>
            <w:proofErr w:type="spellEnd"/>
            <w:r>
              <w:rPr>
                <w:color w:val="000000"/>
                <w:sz w:val="20"/>
                <w:szCs w:val="20"/>
              </w:rPr>
              <w:t xml:space="preserve">, </w:t>
            </w:r>
            <w:proofErr w:type="spellStart"/>
            <w:proofErr w:type="gramStart"/>
            <w:r>
              <w:rPr>
                <w:color w:val="000000"/>
                <w:sz w:val="20"/>
                <w:szCs w:val="20"/>
              </w:rPr>
              <w:t>crsp.msedelist</w:t>
            </w:r>
            <w:proofErr w:type="spellEnd"/>
            <w:proofErr w:type="gramEnd"/>
            <w:r>
              <w:rPr>
                <w:color w:val="000000"/>
                <w:sz w:val="20"/>
                <w:szCs w:val="20"/>
              </w:rPr>
              <w:t>) via WRDS for all resolved PERMNOs, with a 13-month lookback buffer.</w:t>
            </w:r>
          </w:p>
        </w:tc>
      </w:tr>
      <w:tr w:rsidR="006570CD" w14:paraId="7A146356"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3F425C4B" w14:textId="77777777" w:rsidR="006570CD" w:rsidRDefault="00000000">
            <w:r>
              <w:rPr>
                <w:color w:val="000000"/>
                <w:sz w:val="20"/>
                <w:szCs w:val="20"/>
              </w:rPr>
              <w:t>Data prep 3</w:t>
            </w:r>
          </w:p>
        </w:tc>
        <w:tc>
          <w:tcPr>
            <w:tcW w:w="3200" w:type="dxa"/>
            <w:shd w:val="clear" w:color="auto" w:fill="FFFFFF"/>
            <w:tcMar>
              <w:top w:w="80" w:type="dxa"/>
              <w:left w:w="120" w:type="dxa"/>
              <w:bottom w:w="80" w:type="dxa"/>
              <w:right w:w="120" w:type="dxa"/>
            </w:tcMar>
          </w:tcPr>
          <w:p w14:paraId="6FDB8B2D" w14:textId="77777777" w:rsidR="006570CD" w:rsidRDefault="00000000">
            <w:pPr>
              <w:jc w:val="center"/>
            </w:pPr>
            <w:r>
              <w:rPr>
                <w:color w:val="000000"/>
                <w:sz w:val="20"/>
                <w:szCs w:val="20"/>
              </w:rPr>
              <w:t>03_construct_backtest_panel.py</w:t>
            </w:r>
          </w:p>
        </w:tc>
        <w:tc>
          <w:tcPr>
            <w:tcW w:w="4500" w:type="dxa"/>
            <w:shd w:val="clear" w:color="auto" w:fill="FFFFFF"/>
            <w:tcMar>
              <w:top w:w="80" w:type="dxa"/>
              <w:left w:w="120" w:type="dxa"/>
              <w:bottom w:w="80" w:type="dxa"/>
              <w:right w:w="120" w:type="dxa"/>
            </w:tcMar>
          </w:tcPr>
          <w:p w14:paraId="547726B2" w14:textId="77777777" w:rsidR="006570CD" w:rsidRDefault="00000000">
            <w:pPr>
              <w:jc w:val="center"/>
            </w:pPr>
            <w:r>
              <w:rPr>
                <w:color w:val="000000"/>
                <w:sz w:val="20"/>
                <w:szCs w:val="20"/>
              </w:rPr>
              <w:t xml:space="preserve">Deduplicates and merges the PIT universe with CRSP returns on (PERMNO, year-month); computes 1-month-forward returns on the full per-stock history; outputs the master </w:t>
            </w:r>
            <w:proofErr w:type="spellStart"/>
            <w:r>
              <w:rPr>
                <w:color w:val="000000"/>
                <w:sz w:val="20"/>
                <w:szCs w:val="20"/>
              </w:rPr>
              <w:t>backtest</w:t>
            </w:r>
            <w:proofErr w:type="spellEnd"/>
            <w:r>
              <w:rPr>
                <w:color w:val="000000"/>
                <w:sz w:val="20"/>
                <w:szCs w:val="20"/>
              </w:rPr>
              <w:t xml:space="preserve"> panel.</w:t>
            </w:r>
          </w:p>
        </w:tc>
      </w:tr>
      <w:tr w:rsidR="006570CD" w14:paraId="01F6A5F3"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7B33D0ED" w14:textId="77777777" w:rsidR="006570CD" w:rsidRDefault="00000000">
            <w:r>
              <w:rPr>
                <w:color w:val="000000"/>
                <w:sz w:val="20"/>
                <w:szCs w:val="20"/>
              </w:rPr>
              <w:t>Signal</w:t>
            </w:r>
          </w:p>
        </w:tc>
        <w:tc>
          <w:tcPr>
            <w:tcW w:w="3200" w:type="dxa"/>
            <w:shd w:val="clear" w:color="auto" w:fill="FFFFFF"/>
            <w:tcMar>
              <w:top w:w="80" w:type="dxa"/>
              <w:left w:w="120" w:type="dxa"/>
              <w:bottom w:w="80" w:type="dxa"/>
              <w:right w:w="120" w:type="dxa"/>
            </w:tcMar>
          </w:tcPr>
          <w:p w14:paraId="0DE30984" w14:textId="77777777" w:rsidR="006570CD" w:rsidRDefault="00000000">
            <w:pPr>
              <w:jc w:val="center"/>
            </w:pPr>
            <w:r>
              <w:rPr>
                <w:color w:val="000000"/>
                <w:sz w:val="20"/>
                <w:szCs w:val="20"/>
              </w:rPr>
              <w:t>01_compute_signals.py (signal stage)</w:t>
            </w:r>
          </w:p>
        </w:tc>
        <w:tc>
          <w:tcPr>
            <w:tcW w:w="4500" w:type="dxa"/>
            <w:shd w:val="clear" w:color="auto" w:fill="FFFFFF"/>
            <w:tcMar>
              <w:top w:w="80" w:type="dxa"/>
              <w:left w:w="120" w:type="dxa"/>
              <w:bottom w:w="80" w:type="dxa"/>
              <w:right w:w="120" w:type="dxa"/>
            </w:tcMar>
          </w:tcPr>
          <w:p w14:paraId="59F0B257" w14:textId="77777777" w:rsidR="006570CD" w:rsidRDefault="00000000">
            <w:pPr>
              <w:jc w:val="center"/>
            </w:pPr>
            <w:r>
              <w:rPr>
                <w:color w:val="000000"/>
                <w:sz w:val="20"/>
                <w:szCs w:val="20"/>
              </w:rPr>
              <w:t xml:space="preserve">Loads the master panel; builds the 12-1 log-return momentum signal per stock; </w:t>
            </w:r>
            <w:proofErr w:type="spellStart"/>
            <w:r>
              <w:rPr>
                <w:color w:val="000000"/>
                <w:sz w:val="20"/>
                <w:szCs w:val="20"/>
              </w:rPr>
              <w:t>winsorizes</w:t>
            </w:r>
            <w:proofErr w:type="spellEnd"/>
            <w:r>
              <w:rPr>
                <w:color w:val="000000"/>
                <w:sz w:val="20"/>
                <w:szCs w:val="20"/>
              </w:rPr>
              <w:t xml:space="preserve"> cross-sectionally (1%/99%) each month.</w:t>
            </w:r>
          </w:p>
        </w:tc>
      </w:tr>
      <w:tr w:rsidR="006570CD" w14:paraId="7FA958DA"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6E4915CB" w14:textId="77777777" w:rsidR="006570CD" w:rsidRDefault="00000000">
            <w:r>
              <w:rPr>
                <w:color w:val="000000"/>
                <w:sz w:val="20"/>
                <w:szCs w:val="20"/>
              </w:rPr>
              <w:t>Portfolio</w:t>
            </w:r>
          </w:p>
        </w:tc>
        <w:tc>
          <w:tcPr>
            <w:tcW w:w="3200" w:type="dxa"/>
            <w:shd w:val="clear" w:color="auto" w:fill="FFFFFF"/>
            <w:tcMar>
              <w:top w:w="80" w:type="dxa"/>
              <w:left w:w="120" w:type="dxa"/>
              <w:bottom w:w="80" w:type="dxa"/>
              <w:right w:w="120" w:type="dxa"/>
            </w:tcMar>
          </w:tcPr>
          <w:p w14:paraId="04D607A2" w14:textId="77777777" w:rsidR="006570CD" w:rsidRDefault="00000000">
            <w:pPr>
              <w:jc w:val="center"/>
            </w:pPr>
            <w:r>
              <w:rPr>
                <w:color w:val="000000"/>
                <w:sz w:val="20"/>
                <w:szCs w:val="20"/>
              </w:rPr>
              <w:t>02_construct_portfolio.py</w:t>
            </w:r>
          </w:p>
        </w:tc>
        <w:tc>
          <w:tcPr>
            <w:tcW w:w="4500" w:type="dxa"/>
            <w:shd w:val="clear" w:color="auto" w:fill="FFFFFF"/>
            <w:tcMar>
              <w:top w:w="80" w:type="dxa"/>
              <w:left w:w="120" w:type="dxa"/>
              <w:bottom w:w="80" w:type="dxa"/>
              <w:right w:w="120" w:type="dxa"/>
            </w:tcMar>
          </w:tcPr>
          <w:p w14:paraId="21EF9810" w14:textId="77777777" w:rsidR="006570CD" w:rsidRDefault="00000000">
            <w:pPr>
              <w:jc w:val="center"/>
            </w:pPr>
            <w:r>
              <w:rPr>
                <w:color w:val="000000"/>
                <w:sz w:val="20"/>
                <w:szCs w:val="20"/>
              </w:rPr>
              <w:t>Sorts stocks into 10 momentum deciles monthly; builds Long (D10) / Short (D1) / Long-Short spread returns.</w:t>
            </w:r>
          </w:p>
        </w:tc>
      </w:tr>
      <w:tr w:rsidR="006570CD" w14:paraId="433FD445"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1EC2A87F" w14:textId="77777777" w:rsidR="006570CD" w:rsidRDefault="00000000">
            <w:r>
              <w:rPr>
                <w:color w:val="000000"/>
                <w:sz w:val="20"/>
                <w:szCs w:val="20"/>
              </w:rPr>
              <w:t>Performance</w:t>
            </w:r>
          </w:p>
        </w:tc>
        <w:tc>
          <w:tcPr>
            <w:tcW w:w="3200" w:type="dxa"/>
            <w:shd w:val="clear" w:color="auto" w:fill="FFFFFF"/>
            <w:tcMar>
              <w:top w:w="80" w:type="dxa"/>
              <w:left w:w="120" w:type="dxa"/>
              <w:bottom w:w="80" w:type="dxa"/>
              <w:right w:w="120" w:type="dxa"/>
            </w:tcMar>
          </w:tcPr>
          <w:p w14:paraId="2CC6C902" w14:textId="77777777" w:rsidR="006570CD" w:rsidRDefault="00000000">
            <w:pPr>
              <w:jc w:val="center"/>
            </w:pPr>
            <w:r>
              <w:rPr>
                <w:color w:val="000000"/>
                <w:sz w:val="20"/>
                <w:szCs w:val="20"/>
              </w:rPr>
              <w:t>03_evalute_performance.py</w:t>
            </w:r>
          </w:p>
        </w:tc>
        <w:tc>
          <w:tcPr>
            <w:tcW w:w="4500" w:type="dxa"/>
            <w:shd w:val="clear" w:color="auto" w:fill="FFFFFF"/>
            <w:tcMar>
              <w:top w:w="80" w:type="dxa"/>
              <w:left w:w="120" w:type="dxa"/>
              <w:bottom w:w="80" w:type="dxa"/>
              <w:right w:w="120" w:type="dxa"/>
            </w:tcMar>
          </w:tcPr>
          <w:p w14:paraId="611A2665" w14:textId="77777777" w:rsidR="006570CD" w:rsidRDefault="00000000">
            <w:pPr>
              <w:jc w:val="center"/>
            </w:pPr>
            <w:r>
              <w:rPr>
                <w:color w:val="000000"/>
                <w:sz w:val="20"/>
                <w:szCs w:val="20"/>
              </w:rPr>
              <w:t>Computes annualized return, volatility, and Sharpe ratio for the long leg, short leg, and long-short spread.</w:t>
            </w:r>
          </w:p>
        </w:tc>
      </w:tr>
      <w:tr w:rsidR="006570CD" w14:paraId="6492D4A0" w14:textId="77777777">
        <w:tblPrEx>
          <w:tblCellMar>
            <w:top w:w="0" w:type="dxa"/>
            <w:bottom w:w="0" w:type="dxa"/>
          </w:tblCellMar>
        </w:tblPrEx>
        <w:tc>
          <w:tcPr>
            <w:tcW w:w="1650" w:type="dxa"/>
            <w:shd w:val="clear" w:color="auto" w:fill="FFFFFF"/>
            <w:tcMar>
              <w:top w:w="80" w:type="dxa"/>
              <w:left w:w="120" w:type="dxa"/>
              <w:bottom w:w="80" w:type="dxa"/>
              <w:right w:w="120" w:type="dxa"/>
            </w:tcMar>
          </w:tcPr>
          <w:p w14:paraId="02BF4445" w14:textId="77777777" w:rsidR="006570CD" w:rsidRDefault="00000000">
            <w:r>
              <w:rPr>
                <w:color w:val="000000"/>
                <w:sz w:val="20"/>
                <w:szCs w:val="20"/>
              </w:rPr>
              <w:lastRenderedPageBreak/>
              <w:t>Benchmark &amp; CAPM</w:t>
            </w:r>
          </w:p>
        </w:tc>
        <w:tc>
          <w:tcPr>
            <w:tcW w:w="3200" w:type="dxa"/>
            <w:shd w:val="clear" w:color="auto" w:fill="FFFFFF"/>
            <w:tcMar>
              <w:top w:w="80" w:type="dxa"/>
              <w:left w:w="120" w:type="dxa"/>
              <w:bottom w:w="80" w:type="dxa"/>
              <w:right w:w="120" w:type="dxa"/>
            </w:tcMar>
          </w:tcPr>
          <w:p w14:paraId="7EAABF70" w14:textId="77777777" w:rsidR="006570CD" w:rsidRDefault="00000000">
            <w:pPr>
              <w:jc w:val="center"/>
            </w:pPr>
            <w:r>
              <w:rPr>
                <w:color w:val="000000"/>
                <w:sz w:val="20"/>
                <w:szCs w:val="20"/>
              </w:rPr>
              <w:t>04_evaluate_performance.py</w:t>
            </w:r>
          </w:p>
        </w:tc>
        <w:tc>
          <w:tcPr>
            <w:tcW w:w="4500" w:type="dxa"/>
            <w:shd w:val="clear" w:color="auto" w:fill="FFFFFF"/>
            <w:tcMar>
              <w:top w:w="80" w:type="dxa"/>
              <w:left w:w="120" w:type="dxa"/>
              <w:bottom w:w="80" w:type="dxa"/>
              <w:right w:w="120" w:type="dxa"/>
            </w:tcMar>
          </w:tcPr>
          <w:p w14:paraId="777F2A9E" w14:textId="77777777" w:rsidR="006570CD" w:rsidRDefault="00000000">
            <w:pPr>
              <w:jc w:val="center"/>
            </w:pPr>
            <w:r>
              <w:rPr>
                <w:color w:val="000000"/>
                <w:sz w:val="20"/>
                <w:szCs w:val="20"/>
              </w:rPr>
              <w:t>Builds an equal-weighted market benchmark; compares strategy vs. benchmark; runs the CAPM OLS regression to isolate alpha and beta with significance testing.</w:t>
            </w:r>
          </w:p>
        </w:tc>
      </w:tr>
    </w:tbl>
    <w:p w14:paraId="6FF3E73F" w14:textId="77777777" w:rsidR="003B2035" w:rsidRDefault="003B2035"/>
    <w:sectPr w:rsidR="003B203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646A1C" w14:textId="77777777" w:rsidR="003B2035" w:rsidRDefault="003B2035">
      <w:r>
        <w:separator/>
      </w:r>
    </w:p>
  </w:endnote>
  <w:endnote w:type="continuationSeparator" w:id="0">
    <w:p w14:paraId="4EFAD376" w14:textId="77777777" w:rsidR="003B2035" w:rsidRDefault="003B2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23974" w14:textId="77777777" w:rsidR="006570C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1CD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1CD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B4D43" w14:textId="77777777" w:rsidR="003B2035" w:rsidRDefault="003B2035">
      <w:r>
        <w:separator/>
      </w:r>
    </w:p>
  </w:footnote>
  <w:footnote w:type="continuationSeparator" w:id="0">
    <w:p w14:paraId="7AE10BCB" w14:textId="77777777" w:rsidR="003B2035" w:rsidRDefault="003B2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8EE53" w14:textId="77777777" w:rsidR="006570CD" w:rsidRDefault="00000000">
    <w:pPr>
      <w:jc w:val="right"/>
    </w:pPr>
    <w:r>
      <w:rPr>
        <w:color w:val="595959"/>
        <w:sz w:val="16"/>
        <w:szCs w:val="16"/>
      </w:rPr>
      <w:t>Cross-Sectional Momentum Backtest — Alpha/Beta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573FBA"/>
    <w:multiLevelType w:val="hybridMultilevel"/>
    <w:tmpl w:val="0FD84A06"/>
    <w:lvl w:ilvl="0" w:tplc="4FF4B9C0">
      <w:start w:val="1"/>
      <w:numFmt w:val="bullet"/>
      <w:lvlText w:val="●"/>
      <w:lvlJc w:val="left"/>
      <w:pPr>
        <w:ind w:left="720" w:hanging="360"/>
      </w:pPr>
    </w:lvl>
    <w:lvl w:ilvl="1" w:tplc="869C7CB2">
      <w:start w:val="1"/>
      <w:numFmt w:val="bullet"/>
      <w:lvlText w:val="○"/>
      <w:lvlJc w:val="left"/>
      <w:pPr>
        <w:ind w:left="1440" w:hanging="360"/>
      </w:pPr>
    </w:lvl>
    <w:lvl w:ilvl="2" w:tplc="56A8C5AA">
      <w:start w:val="1"/>
      <w:numFmt w:val="bullet"/>
      <w:lvlText w:val="■"/>
      <w:lvlJc w:val="left"/>
      <w:pPr>
        <w:ind w:left="2160" w:hanging="360"/>
      </w:pPr>
    </w:lvl>
    <w:lvl w:ilvl="3" w:tplc="B456C150">
      <w:start w:val="1"/>
      <w:numFmt w:val="bullet"/>
      <w:lvlText w:val="●"/>
      <w:lvlJc w:val="left"/>
      <w:pPr>
        <w:ind w:left="2880" w:hanging="360"/>
      </w:pPr>
    </w:lvl>
    <w:lvl w:ilvl="4" w:tplc="94FAD328">
      <w:start w:val="1"/>
      <w:numFmt w:val="bullet"/>
      <w:lvlText w:val="○"/>
      <w:lvlJc w:val="left"/>
      <w:pPr>
        <w:ind w:left="3600" w:hanging="360"/>
      </w:pPr>
    </w:lvl>
    <w:lvl w:ilvl="5" w:tplc="4224CFFE">
      <w:start w:val="1"/>
      <w:numFmt w:val="bullet"/>
      <w:lvlText w:val="■"/>
      <w:lvlJc w:val="left"/>
      <w:pPr>
        <w:ind w:left="4320" w:hanging="360"/>
      </w:pPr>
    </w:lvl>
    <w:lvl w:ilvl="6" w:tplc="000875BC">
      <w:start w:val="1"/>
      <w:numFmt w:val="bullet"/>
      <w:lvlText w:val="●"/>
      <w:lvlJc w:val="left"/>
      <w:pPr>
        <w:ind w:left="5040" w:hanging="360"/>
      </w:pPr>
    </w:lvl>
    <w:lvl w:ilvl="7" w:tplc="3594DDD8">
      <w:start w:val="1"/>
      <w:numFmt w:val="bullet"/>
      <w:lvlText w:val="●"/>
      <w:lvlJc w:val="left"/>
      <w:pPr>
        <w:ind w:left="5760" w:hanging="360"/>
      </w:pPr>
    </w:lvl>
    <w:lvl w:ilvl="8" w:tplc="483EE468">
      <w:start w:val="1"/>
      <w:numFmt w:val="bullet"/>
      <w:lvlText w:val="●"/>
      <w:lvlJc w:val="left"/>
      <w:pPr>
        <w:ind w:left="6480" w:hanging="360"/>
      </w:pPr>
    </w:lvl>
  </w:abstractNum>
  <w:num w:numId="1" w16cid:durableId="17067147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CD"/>
    <w:rsid w:val="001C1B7D"/>
    <w:rsid w:val="0030710D"/>
    <w:rsid w:val="003212C3"/>
    <w:rsid w:val="003B2035"/>
    <w:rsid w:val="004326AC"/>
    <w:rsid w:val="006570CD"/>
    <w:rsid w:val="00684236"/>
    <w:rsid w:val="00694B4D"/>
    <w:rsid w:val="006C284E"/>
    <w:rsid w:val="007D6898"/>
    <w:rsid w:val="00873247"/>
    <w:rsid w:val="009C51B8"/>
    <w:rsid w:val="00AB607C"/>
    <w:rsid w:val="00B61084"/>
    <w:rsid w:val="00C72C91"/>
    <w:rsid w:val="00D41CDB"/>
    <w:rsid w:val="00EF7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07A5B"/>
  <w15:docId w15:val="{7BD3D0F8-778B-904F-91A4-A9F8F245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2651</Words>
  <Characters>15114</Characters>
  <Application>Microsoft Office Word</Application>
  <DocSecurity>0</DocSecurity>
  <Lines>125</Lines>
  <Paragraphs>35</Paragraphs>
  <ScaleCrop>false</ScaleCrop>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Wee Kiat Ng</cp:lastModifiedBy>
  <cp:revision>15</cp:revision>
  <dcterms:created xsi:type="dcterms:W3CDTF">2026-09-12T06:29:00Z</dcterms:created>
  <dcterms:modified xsi:type="dcterms:W3CDTF">2026-09-12T07:28:00Z</dcterms:modified>
</cp:coreProperties>
</file>