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0742" w14:textId="1200CEE3" w:rsidR="003A3F13" w:rsidRDefault="003A3F1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Introduction</w:t>
      </w:r>
    </w:p>
    <w:p w14:paraId="14855F42" w14:textId="77777777" w:rsidR="003A3F13" w:rsidRDefault="003A3F1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7A57B2B" w14:textId="24D85E43" w:rsidR="003672C6" w:rsidRDefault="00653A7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53A7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There is a push in the U.S. to address environmental injustices. Overburdened communities are defined as “minority, low-income, tribal, or indigenous populations or geographic locations in the United States that potentially experience disproportionate environmental harms and risks.”</w:t>
      </w:r>
      <w:r>
        <w:rPr>
          <w:rStyle w:val="EndnoteReference"/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endnoteReference w:id="1"/>
      </w:r>
      <w:r w:rsidRPr="00653A7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determine which are the most pressing environmental problems, the harm from </w:t>
      </w:r>
      <w:proofErr w:type="gramStart"/>
      <w:r w:rsidRPr="00653A7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particular environmental</w:t>
      </w:r>
      <w:proofErr w:type="gramEnd"/>
      <w:r w:rsidRPr="00653A7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problems should be quantified in terms of health effects. </w:t>
      </w:r>
    </w:p>
    <w:p w14:paraId="34E49A3B" w14:textId="77777777" w:rsidR="003672C6" w:rsidRDefault="003672C6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ECF38DB" w14:textId="28D60275" w:rsidR="00653A73" w:rsidRDefault="00653A7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goal of this research was to </w:t>
      </w:r>
      <w:r w:rsidR="003672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predict</w:t>
      </w:r>
      <w:r w:rsidRPr="00653A7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specific negative health outcomes</w:t>
      </w:r>
      <w:r w:rsidR="003672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asthma prevalence, </w:t>
      </w:r>
      <w:r w:rsidR="003672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cancer, </w:t>
      </w:r>
      <w:r w:rsidR="003672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chronic kidney </w:t>
      </w:r>
      <w:r w:rsidR="003672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disease, chronic obstructive pulmonary disease (COPD), </w:t>
      </w:r>
      <w:r w:rsidR="003672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coronary heart disease (CHD),</w:t>
      </w:r>
      <w:r w:rsidR="003672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stroke from a variety of environmental factors. This prediction would </w:t>
      </w:r>
      <w:r w:rsidR="003A3F1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allow these outcomes</w:t>
      </w:r>
      <w:r w:rsidRPr="00653A7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be linked </w:t>
      </w:r>
      <w:r w:rsidR="003A3F1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to specific environmental factors in </w:t>
      </w:r>
      <w:r w:rsidRPr="00653A7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overburdened communities.</w:t>
      </w:r>
      <w:r w:rsidR="003A3F1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0536ED63" w14:textId="77777777" w:rsidR="003A3F13" w:rsidRDefault="003A3F1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14029BB" w14:textId="72D91FFB" w:rsidR="003A3F13" w:rsidRDefault="003A3F1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Methods</w:t>
      </w:r>
    </w:p>
    <w:p w14:paraId="15ADEFCE" w14:textId="77777777" w:rsidR="003A3F13" w:rsidRDefault="003A3F1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4514091" w14:textId="1DBA5400" w:rsidR="003A3F13" w:rsidRDefault="0033640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data about the e</w:t>
      </w:r>
      <w:r w:rsidR="00704E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leven e</w:t>
      </w:r>
      <w:r w:rsidR="003A3F1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nvironmental </w:t>
      </w:r>
      <w:r w:rsidR="00704E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indicators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came</w:t>
      </w:r>
      <w:r w:rsidR="00704E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from the </w:t>
      </w:r>
      <w:proofErr w:type="spellStart"/>
      <w:r w:rsidR="00704E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EJ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Screen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(environmental justice </w:t>
      </w:r>
      <w:proofErr w:type="spellStart"/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scrren</w:t>
      </w:r>
      <w:proofErr w:type="spellEnd"/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</w:t>
      </w:r>
      <w:r w:rsidR="0044107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data</w:t>
      </w:r>
      <w:r w:rsidR="00AD32D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the U.S. Environmental Protection Agency,</w:t>
      </w:r>
      <w:r>
        <w:rPr>
          <w:rStyle w:val="EndnoteReference"/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endnoteReference w:id="2"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they are defined in the appendix and in the data wrangling notebook. The data on the health outcomes were obtained from 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U.S. Centers for Disease Controls and Prevention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’ </w:t>
      </w:r>
      <w:r w:rsidR="00295EA5" w:rsidRP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Local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95EA5" w:rsidRP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</w:t>
      </w:r>
      <w:r w:rsidR="00295EA5" w:rsidRP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95EA5" w:rsidRP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Better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95EA5" w:rsidRP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Health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2022</w:t>
      </w:r>
      <w:r w:rsidR="0044107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="00295EA5">
        <w:rPr>
          <w:rStyle w:val="EndnoteReference"/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endnoteReference w:id="3"/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67CDCC0A" w14:textId="77777777" w:rsidR="00295EA5" w:rsidRDefault="00295EA5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73E9D3" w14:textId="420FAF79" w:rsidR="00295EA5" w:rsidRDefault="00F77FC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These data sources did not </w:t>
      </w:r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Since the health data was collected at the census tract level and the environmental data was collected at the census block level, the environmental data </w:t>
      </w:r>
      <w:proofErr w:type="gramStart"/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was</w:t>
      </w:r>
      <w:proofErr w:type="gramEnd"/>
      <w:r w:rsidR="00295E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5A16491A" w14:textId="77777777" w:rsidR="003A3F13" w:rsidRDefault="003A3F13" w:rsidP="00653A73">
      <w:pPr>
        <w:ind w:right="-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57AD8B5" w14:textId="79638CA1" w:rsidR="003A3F13" w:rsidRPr="00653A73" w:rsidRDefault="003A3F13" w:rsidP="00653A73">
      <w:pPr>
        <w:ind w:right="-72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C51647" w14:textId="77777777" w:rsidR="00653A73" w:rsidRPr="00653A73" w:rsidRDefault="00653A73" w:rsidP="00653A73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F49122" w14:textId="77777777" w:rsidR="00653A73" w:rsidRPr="00653A73" w:rsidRDefault="00653A73" w:rsidP="00653A7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96B30" w14:textId="77777777" w:rsidR="00C72CC7" w:rsidRDefault="00C72CC7"/>
    <w:sectPr w:rsidR="00C72C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827C" w14:textId="77777777" w:rsidR="00066A82" w:rsidRDefault="00066A82" w:rsidP="00653A73">
      <w:r>
        <w:separator/>
      </w:r>
    </w:p>
  </w:endnote>
  <w:endnote w:type="continuationSeparator" w:id="0">
    <w:p w14:paraId="10C5E459" w14:textId="77777777" w:rsidR="00066A82" w:rsidRDefault="00066A82" w:rsidP="00653A73">
      <w:r>
        <w:continuationSeparator/>
      </w:r>
    </w:p>
  </w:endnote>
  <w:endnote w:id="1">
    <w:p w14:paraId="790605F6" w14:textId="4D947B13" w:rsidR="00653A73" w:rsidRPr="00295EA5" w:rsidRDefault="00653A73">
      <w:pPr>
        <w:pStyle w:val="EndnoteText"/>
        <w:rPr>
          <w:rFonts w:cstheme="minorHAnsi"/>
          <w:sz w:val="18"/>
          <w:szCs w:val="18"/>
        </w:rPr>
      </w:pPr>
      <w:r w:rsidRPr="00295EA5">
        <w:rPr>
          <w:rStyle w:val="EndnoteReference"/>
          <w:sz w:val="18"/>
          <w:szCs w:val="18"/>
        </w:rPr>
        <w:endnoteRef/>
      </w:r>
      <w:r w:rsidRPr="00295EA5">
        <w:rPr>
          <w:sz w:val="18"/>
          <w:szCs w:val="18"/>
        </w:rPr>
        <w:t xml:space="preserve"> </w:t>
      </w:r>
      <w:r w:rsidRPr="00295EA5">
        <w:rPr>
          <w:rFonts w:ascii="Arial" w:hAnsi="Arial" w:cs="Arial"/>
          <w:color w:val="000000"/>
          <w:sz w:val="18"/>
          <w:szCs w:val="18"/>
        </w:rPr>
        <w:t> </w:t>
      </w:r>
      <w:hyperlink r:id="rId1" w:history="1">
        <w:r w:rsidRPr="00295EA5">
          <w:rPr>
            <w:rStyle w:val="Hyperlink"/>
            <w:rFonts w:cstheme="minorHAnsi"/>
            <w:sz w:val="18"/>
            <w:szCs w:val="18"/>
          </w:rPr>
          <w:t>https://www.epa.gov/environmenta</w:t>
        </w:r>
        <w:r w:rsidRPr="00295EA5">
          <w:rPr>
            <w:rStyle w:val="Hyperlink"/>
            <w:rFonts w:cstheme="minorHAnsi"/>
            <w:sz w:val="18"/>
            <w:szCs w:val="18"/>
          </w:rPr>
          <w:t>l</w:t>
        </w:r>
        <w:r w:rsidRPr="00295EA5">
          <w:rPr>
            <w:rStyle w:val="Hyperlink"/>
            <w:rFonts w:cstheme="minorHAnsi"/>
            <w:sz w:val="18"/>
            <w:szCs w:val="18"/>
          </w:rPr>
          <w:t>justice/ej-2020-glossary</w:t>
        </w:r>
      </w:hyperlink>
      <w:r w:rsidRPr="00295EA5">
        <w:rPr>
          <w:rFonts w:cstheme="minorHAnsi"/>
          <w:color w:val="000000"/>
          <w:sz w:val="18"/>
          <w:szCs w:val="18"/>
        </w:rPr>
        <w:t>, accessed 2023_03_25</w:t>
      </w:r>
      <w:r w:rsidRPr="00295EA5">
        <w:rPr>
          <w:rFonts w:cstheme="minorHAnsi"/>
          <w:color w:val="000000"/>
          <w:sz w:val="18"/>
          <w:szCs w:val="18"/>
        </w:rPr>
        <w:t>.</w:t>
      </w:r>
    </w:p>
  </w:endnote>
  <w:endnote w:id="2">
    <w:p w14:paraId="7C6F267D" w14:textId="2C3D37AF" w:rsidR="00336403" w:rsidRPr="00295EA5" w:rsidRDefault="00336403">
      <w:pPr>
        <w:pStyle w:val="EndnoteText"/>
        <w:rPr>
          <w:sz w:val="18"/>
          <w:szCs w:val="18"/>
        </w:rPr>
      </w:pPr>
      <w:r w:rsidRPr="00295EA5">
        <w:rPr>
          <w:rStyle w:val="EndnoteReference"/>
          <w:rFonts w:cstheme="minorHAnsi"/>
          <w:sz w:val="18"/>
          <w:szCs w:val="18"/>
        </w:rPr>
        <w:endnoteRef/>
      </w:r>
      <w:r w:rsidRPr="00295EA5">
        <w:rPr>
          <w:rFonts w:cstheme="minorHAnsi"/>
          <w:sz w:val="18"/>
          <w:szCs w:val="18"/>
        </w:rPr>
        <w:t xml:space="preserve"> </w:t>
      </w:r>
      <w:hyperlink r:id="rId2" w:history="1">
        <w:r w:rsidRPr="00295EA5">
          <w:rPr>
            <w:rStyle w:val="Hyperlink"/>
            <w:rFonts w:cstheme="minorHAnsi"/>
            <w:sz w:val="18"/>
            <w:szCs w:val="18"/>
          </w:rPr>
          <w:t>https://www.epa.gov/ejscreen</w:t>
        </w:r>
      </w:hyperlink>
      <w:r w:rsidRPr="00295EA5">
        <w:rPr>
          <w:rFonts w:cstheme="minorHAnsi"/>
          <w:sz w:val="18"/>
          <w:szCs w:val="18"/>
        </w:rPr>
        <w:t>, accessed 2023_03_18</w:t>
      </w:r>
      <w:r w:rsidR="00295EA5" w:rsidRPr="00295EA5">
        <w:rPr>
          <w:rFonts w:cstheme="minorHAnsi"/>
          <w:sz w:val="18"/>
          <w:szCs w:val="18"/>
        </w:rPr>
        <w:t>.</w:t>
      </w:r>
    </w:p>
  </w:endnote>
  <w:endnote w:id="3">
    <w:p w14:paraId="785B53F5" w14:textId="0E31EC26" w:rsidR="00295EA5" w:rsidRDefault="00295EA5">
      <w:pPr>
        <w:pStyle w:val="EndnoteText"/>
      </w:pPr>
      <w:r w:rsidRPr="00295EA5">
        <w:rPr>
          <w:rStyle w:val="EndnoteReference"/>
          <w:sz w:val="18"/>
          <w:szCs w:val="18"/>
        </w:rPr>
        <w:endnoteRef/>
      </w:r>
      <w:r w:rsidRPr="00295EA5">
        <w:rPr>
          <w:sz w:val="18"/>
          <w:szCs w:val="18"/>
        </w:rPr>
        <w:t xml:space="preserve"> </w:t>
      </w:r>
      <w:hyperlink r:id="rId3" w:history="1">
        <w:r w:rsidRPr="00295EA5">
          <w:rPr>
            <w:rStyle w:val="Hyperlink"/>
            <w:sz w:val="18"/>
            <w:szCs w:val="18"/>
          </w:rPr>
          <w:t>https://chronicdata.cdc.gov/500-Cities-Places/PLACES-Local-Data-for-Better-Health-Census-Tract-D/cwsq-ngmh</w:t>
        </w:r>
      </w:hyperlink>
      <w:r w:rsidRPr="00295EA5">
        <w:rPr>
          <w:sz w:val="18"/>
          <w:szCs w:val="18"/>
        </w:rPr>
        <w:t>, accessed 2023_3_24.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84BD" w14:textId="77777777" w:rsidR="00066A82" w:rsidRDefault="00066A82" w:rsidP="00653A73">
      <w:r>
        <w:separator/>
      </w:r>
    </w:p>
  </w:footnote>
  <w:footnote w:type="continuationSeparator" w:id="0">
    <w:p w14:paraId="2237BD42" w14:textId="77777777" w:rsidR="00066A82" w:rsidRDefault="00066A82" w:rsidP="00653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0"/>
    <w:rsid w:val="00066A82"/>
    <w:rsid w:val="001D2150"/>
    <w:rsid w:val="00295EA5"/>
    <w:rsid w:val="00336403"/>
    <w:rsid w:val="003672C6"/>
    <w:rsid w:val="003A3F13"/>
    <w:rsid w:val="0044107E"/>
    <w:rsid w:val="00653A73"/>
    <w:rsid w:val="00704E95"/>
    <w:rsid w:val="00AD32D2"/>
    <w:rsid w:val="00B7130D"/>
    <w:rsid w:val="00C329F5"/>
    <w:rsid w:val="00C72CC7"/>
    <w:rsid w:val="00F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EEEB9"/>
  <w15:chartTrackingRefBased/>
  <w15:docId w15:val="{823C9907-93BC-CB47-A155-3F82DAC6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A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3A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3A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3A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3A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hronicdata.cdc.gov/500-Cities-Places/PLACES-Local-Data-for-Better-Health-Census-Tract-D/cwsq-ngmh" TargetMode="External"/><Relationship Id="rId2" Type="http://schemas.openxmlformats.org/officeDocument/2006/relationships/hyperlink" Target="https://www.epa.gov/ejscreen" TargetMode="External"/><Relationship Id="rId1" Type="http://schemas.openxmlformats.org/officeDocument/2006/relationships/hyperlink" Target="https://www.epa.gov/environmentaljustice/ej-2020-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3208CF-88B8-724C-8D0C-67F096AE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Kelly</dc:creator>
  <cp:keywords/>
  <dc:description/>
  <cp:lastModifiedBy>Butler, Kelly</cp:lastModifiedBy>
  <cp:revision>2</cp:revision>
  <dcterms:created xsi:type="dcterms:W3CDTF">2023-06-14T12:34:00Z</dcterms:created>
  <dcterms:modified xsi:type="dcterms:W3CDTF">2023-06-18T18:20:00Z</dcterms:modified>
</cp:coreProperties>
</file>