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6EC8"/>
          <w:sz w:val="72"/>
          <w:u w:val="none"/>
        </w:rPr>
        <w:t>SpendWise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8677C"/>
          <w:sz w:val="28"/>
          <w:u w:val="none"/>
        </w:rPr>
        <w:t>Fejlesztői és felhasználói dokumentáció</w:t>
      </w:r>
    </w:p>
    <w:p>
      <w:pPr>
        <w:spacing w:before="0" w:after="600"/>
        <w:jc w:val="center"/>
      </w:pPr>
      <w:r>
        <w:rPr>
          <w:rFonts w:ascii="Calibri" w:hAnsi="Calibri"/>
          <w:b w:val="0"/>
          <w:i/>
          <w:color w:val="58677C"/>
          <w:sz w:val="22"/>
          <w:u w:val="none"/>
        </w:rPr>
        <w:t>A jelenlegi forráskódhoz igazított, teljes körű rendszerleírás</w:t>
      </w:r>
    </w:p>
    <w:tbl>
      <w:tblPr>
        <w:tblW w:type="auto" w:w="0"/>
        <w:jc w:val="center"/>
        <w:tblBorders>
          <w:top w:val="single" w:sz="4" w:space="0" w:color="BED0EE"/>
          <w:left w:val="single" w:sz="4" w:space="0" w:color="BED0EE"/>
          <w:bottom w:val="single" w:sz="4" w:space="0" w:color="BED0EE"/>
          <w:right w:val="single" w:sz="4" w:space="0" w:color="BED0EE"/>
          <w:insideH w:val="single" w:sz="4" w:space="0" w:color="BED0EE"/>
          <w:insideV w:val="single" w:sz="4" w:space="0" w:color="BED0EE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EAF1FB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Projekt neve</w:t>
            </w:r>
          </w:p>
        </w:tc>
        <w:tc>
          <w:tcPr>
            <w:tcW w:type="dxa" w:w="5953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EAF1FB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SpendWise – Személyes pénzügyi nyilvántartó</w:t>
            </w:r>
          </w:p>
        </w:tc>
      </w:tr>
      <w:tr>
        <w:tc>
          <w:tcPr>
            <w:tcW w:type="dxa" w:w="3118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0F5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Dokumentum típusa</w:t>
            </w:r>
          </w:p>
        </w:tc>
        <w:tc>
          <w:tcPr>
            <w:tcW w:type="dxa" w:w="5953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0F5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Fejlesztői és felhasználói rendszerdokumentáció</w:t>
            </w:r>
          </w:p>
        </w:tc>
      </w:tr>
      <w:tr>
        <w:tc>
          <w:tcPr>
            <w:tcW w:type="dxa" w:w="3118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Készült</w:t>
            </w:r>
          </w:p>
        </w:tc>
        <w:tc>
          <w:tcPr>
            <w:tcW w:type="dxa" w:w="5953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2026</w:t>
            </w:r>
          </w:p>
        </w:tc>
      </w:tr>
      <w:tr>
        <w:tc>
          <w:tcPr>
            <w:tcW w:type="dxa" w:w="3118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0F5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Készítette</w:t>
            </w:r>
          </w:p>
        </w:tc>
        <w:tc>
          <w:tcPr>
            <w:tcW w:type="dxa" w:w="5953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0F5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[Saját névvel frissítendő]</w:t>
            </w:r>
          </w:p>
        </w:tc>
      </w:tr>
      <w:tr>
        <w:tc>
          <w:tcPr>
            <w:tcW w:type="dxa" w:w="3118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Technológiák</w:t>
            </w:r>
          </w:p>
        </w:tc>
        <w:tc>
          <w:tcPr>
            <w:tcW w:type="dxa" w:w="5953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React 19 · TypeScript · Vite · NestJS · Prisma · MySQL</w:t>
            </w:r>
          </w:p>
        </w:tc>
      </w:tr>
      <w:tr>
        <w:tc>
          <w:tcPr>
            <w:tcW w:type="dxa" w:w="3118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0F5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Megjegyzés</w:t>
            </w:r>
          </w:p>
        </w:tc>
        <w:tc>
          <w:tcPr>
            <w:tcW w:type="dxa" w:w="5953"/>
            <w:tcBorders>
              <w:top w:val="single" w:sz="4" w:space="0" w:color="BED0EE"/>
              <w:left w:val="single" w:sz="4" w:space="0" w:color="BED0EE"/>
              <w:bottom w:val="single" w:sz="4" w:space="0" w:color="BED0EE"/>
              <w:right w:val="single" w:sz="4" w:space="0" w:color="BED0EE"/>
            </w:tcBorders>
            <w:shd w:val="clear" w:color="auto" w:fill="F0F5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A dokumentáció a tisztított, javított forráskód állapotát írja le.</w:t>
            </w:r>
          </w:p>
        </w:tc>
      </w:tr>
    </w:tbl>
    <w:p>
      <w:pPr>
        <w:spacing w:after="0"/>
      </w:pPr>
      <w:r>
        <w:br w:type="page"/>
      </w:r>
    </w:p>
    <w:p>
      <w:pPr>
        <w:pBdr>
          <w:bottom w:val="single" w:sz="12" w:space="1" w:color="2E6EC8"/>
        </w:pBdr>
        <w:spacing w:before="360" w:after="80"/>
      </w:pPr>
      <w:r>
        <w:rPr>
          <w:rFonts w:ascii="Calibri" w:hAnsi="Calibri"/>
          <w:b/>
          <w:color w:val="2E6EC8"/>
          <w:sz w:val="32"/>
        </w:rPr>
        <w:t>Tartalomjegyzék</w:t>
      </w:r>
    </w:p>
    <w:p>
      <w:pPr>
        <w:tabs>
          <w:tab w:val="right" w:pos="9026" w:leader="dot"/>
        </w:tabs>
        <w:spacing w:before="0" w:after="60"/>
        <w:ind w:left="0"/>
      </w:pPr>
      <w:r>
        <w:rPr>
          <w:rFonts w:ascii="Calibri" w:hAnsi="Calibri"/>
          <w:b/>
          <w:i w:val="0"/>
          <w:color w:val="2E6EC8"/>
          <w:sz w:val="21"/>
          <w:u w:val="none"/>
        </w:rPr>
        <w:t>1.  Bevezetés</w:t>
      </w:r>
      <w:r>
        <w:rPr>
          <w:sz w:val="20"/>
        </w:rPr>
        <w:tab/>
        <w:t>3</w:t>
      </w:r>
    </w:p>
    <w:p>
      <w:pPr>
        <w:tabs>
          <w:tab w:val="right" w:pos="9026" w:leader="dot"/>
        </w:tabs>
        <w:spacing w:before="0" w:after="60"/>
        <w:ind w:left="0"/>
      </w:pPr>
      <w:r>
        <w:rPr>
          <w:rFonts w:ascii="Calibri" w:hAnsi="Calibri"/>
          <w:b/>
          <w:i w:val="0"/>
          <w:color w:val="2E6EC8"/>
          <w:sz w:val="21"/>
          <w:u w:val="none"/>
        </w:rPr>
        <w:t>2.  Fejlesztői dokumentáció</w:t>
      </w:r>
      <w:r>
        <w:rPr>
          <w:sz w:val="20"/>
        </w:rPr>
        <w:tab/>
        <w:t>4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2.1.  A program szükségessége és eltérése más megoldásoktól</w:t>
      </w:r>
      <w:r>
        <w:rPr>
          <w:sz w:val="20"/>
        </w:rPr>
        <w:tab/>
        <w:t>4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2.2.  A forráscsomag szerkezete</w:t>
      </w:r>
      <w:r>
        <w:rPr>
          <w:sz w:val="20"/>
        </w:rPr>
        <w:tab/>
        <w:t>5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2.3.  Fejlesztőkörnyezet</w:t>
      </w:r>
      <w:r>
        <w:rPr>
          <w:sz w:val="20"/>
        </w:rPr>
        <w:tab/>
        <w:t>6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2.4.  A választott technológiák indoklása</w:t>
      </w:r>
      <w:r>
        <w:rPr>
          <w:sz w:val="20"/>
        </w:rPr>
        <w:tab/>
        <w:t>7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2.5.  Rendszerarchitektúra</w:t>
      </w:r>
      <w:r>
        <w:rPr>
          <w:sz w:val="20"/>
        </w:rPr>
        <w:tab/>
        <w:t>8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2.6.  Backend felépítése</w:t>
      </w:r>
      <w:r>
        <w:rPr>
          <w:sz w:val="20"/>
        </w:rPr>
        <w:tab/>
        <w:t>9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2.7.  Frontend felépítése</w:t>
      </w:r>
      <w:r>
        <w:rPr>
          <w:sz w:val="20"/>
        </w:rPr>
        <w:tab/>
        <w:t>12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2.8.  Adatbázis és adatszerkezet</w:t>
      </w:r>
      <w:r>
        <w:rPr>
          <w:sz w:val="20"/>
        </w:rPr>
        <w:tab/>
        <w:t>15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2.9.  Tipikus algoritmusok</w:t>
      </w:r>
      <w:r>
        <w:rPr>
          <w:sz w:val="20"/>
        </w:rPr>
        <w:tab/>
        <w:t>18</w:t>
      </w:r>
    </w:p>
    <w:p>
      <w:pPr>
        <w:tabs>
          <w:tab w:val="right" w:pos="9026" w:leader="dot"/>
        </w:tabs>
        <w:spacing w:before="0" w:after="60"/>
        <w:ind w:left="794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2.10.  Tesztelés és tesztdokumentáció</w:t>
      </w:r>
      <w:r>
        <w:rPr>
          <w:sz w:val="20"/>
        </w:rPr>
        <w:tab/>
        <w:t>19</w:t>
      </w:r>
    </w:p>
    <w:p>
      <w:pPr>
        <w:tabs>
          <w:tab w:val="right" w:pos="9026" w:leader="dot"/>
        </w:tabs>
        <w:spacing w:before="0" w:after="60"/>
        <w:ind w:left="794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2.11.  Tesztelői hozzáférés</w:t>
      </w:r>
      <w:r>
        <w:rPr>
          <w:sz w:val="20"/>
        </w:rPr>
        <w:tab/>
        <w:t>21</w:t>
      </w:r>
    </w:p>
    <w:p>
      <w:pPr>
        <w:tabs>
          <w:tab w:val="right" w:pos="9026" w:leader="dot"/>
        </w:tabs>
        <w:spacing w:before="0" w:after="60"/>
        <w:ind w:left="794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2.12.  Fejlesztési lehetőségek</w:t>
      </w:r>
      <w:r>
        <w:rPr>
          <w:sz w:val="20"/>
        </w:rPr>
        <w:tab/>
        <w:t>21</w:t>
      </w:r>
    </w:p>
    <w:p>
      <w:pPr>
        <w:tabs>
          <w:tab w:val="right" w:pos="9026" w:leader="dot"/>
        </w:tabs>
        <w:spacing w:before="0" w:after="60"/>
        <w:ind w:left="0"/>
      </w:pPr>
      <w:r>
        <w:rPr>
          <w:rFonts w:ascii="Calibri" w:hAnsi="Calibri"/>
          <w:b/>
          <w:i w:val="0"/>
          <w:color w:val="2E6EC8"/>
          <w:sz w:val="21"/>
          <w:u w:val="none"/>
        </w:rPr>
        <w:t>3.  Felhasználói dokumentáció</w:t>
      </w:r>
      <w:r>
        <w:rPr>
          <w:sz w:val="20"/>
        </w:rPr>
        <w:tab/>
        <w:t>22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3.1.  A program célja és fő funkciói</w:t>
      </w:r>
      <w:r>
        <w:rPr>
          <w:sz w:val="20"/>
        </w:rPr>
        <w:tab/>
        <w:t>22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3.2.  Szükséges hardver és szoftver</w:t>
      </w:r>
      <w:r>
        <w:rPr>
          <w:sz w:val="20"/>
        </w:rPr>
        <w:tab/>
        <w:t>23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3.3.  Telepítés és indítás</w:t>
      </w:r>
      <w:r>
        <w:rPr>
          <w:sz w:val="20"/>
        </w:rPr>
        <w:tab/>
        <w:t>23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3.4.  Regisztráció és bejelentkezés</w:t>
      </w:r>
      <w:r>
        <w:rPr>
          <w:sz w:val="20"/>
        </w:rPr>
        <w:tab/>
        <w:t>25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3.5.  Az alkalmazás részletes használata</w:t>
      </w:r>
      <w:r>
        <w:rPr>
          <w:sz w:val="20"/>
        </w:rPr>
        <w:tab/>
        <w:t>26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3.6.  Beviteli mezők és elvárt formátumok</w:t>
      </w:r>
      <w:r>
        <w:rPr>
          <w:sz w:val="20"/>
        </w:rPr>
        <w:tab/>
        <w:t>31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3.7.  Tipikus hibajelzések és hibás használat</w:t>
      </w:r>
      <w:r>
        <w:rPr>
          <w:sz w:val="20"/>
        </w:rPr>
        <w:tab/>
        <w:t>32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3.8.  Admin felhasználó és jogosultságok</w:t>
      </w:r>
      <w:r>
        <w:rPr>
          <w:sz w:val="20"/>
        </w:rPr>
        <w:tab/>
        <w:t>33</w:t>
      </w:r>
    </w:p>
    <w:p>
      <w:pPr>
        <w:tabs>
          <w:tab w:val="right" w:pos="9026" w:leader="dot"/>
        </w:tabs>
        <w:spacing w:before="0" w:after="60"/>
        <w:ind w:left="397"/>
      </w:pPr>
      <w:r>
        <w:rPr>
          <w:rFonts w:ascii="Calibri" w:hAnsi="Calibri"/>
          <w:b w:val="0"/>
          <w:i w:val="0"/>
          <w:color w:val="333333"/>
          <w:sz w:val="20"/>
          <w:u w:val="none"/>
        </w:rPr>
        <w:t>3.9.  Információkérés lehetősége</w:t>
      </w:r>
      <w:r>
        <w:rPr>
          <w:sz w:val="20"/>
        </w:rPr>
        <w:tab/>
        <w:t>33</w:t>
      </w:r>
    </w:p>
    <w:p>
      <w:pPr>
        <w:tabs>
          <w:tab w:val="right" w:pos="9026" w:leader="dot"/>
        </w:tabs>
        <w:spacing w:before="0" w:after="60"/>
        <w:ind w:left="0"/>
      </w:pPr>
      <w:r>
        <w:rPr>
          <w:rFonts w:ascii="Calibri" w:hAnsi="Calibri"/>
          <w:b/>
          <w:i w:val="0"/>
          <w:color w:val="2E6EC8"/>
          <w:sz w:val="21"/>
          <w:u w:val="none"/>
        </w:rPr>
        <w:t>4.  Összefoglalás</w:t>
      </w:r>
      <w:r>
        <w:rPr>
          <w:sz w:val="20"/>
        </w:rPr>
        <w:tab/>
        <w:t>34</w:t>
      </w:r>
    </w:p>
    <w:p>
      <w:pPr>
        <w:tabs>
          <w:tab w:val="right" w:pos="9026" w:leader="dot"/>
        </w:tabs>
        <w:spacing w:before="0" w:after="60"/>
        <w:ind w:left="0"/>
      </w:pPr>
      <w:r>
        <w:rPr>
          <w:rFonts w:ascii="Calibri" w:hAnsi="Calibri"/>
          <w:b/>
          <w:i w:val="0"/>
          <w:color w:val="2E6EC8"/>
          <w:sz w:val="21"/>
          <w:u w:val="none"/>
        </w:rPr>
        <w:t>5.  Irodalomjegyzék</w:t>
      </w:r>
      <w:r>
        <w:rPr>
          <w:sz w:val="20"/>
        </w:rPr>
        <w:tab/>
        <w:t>35</w:t>
      </w:r>
    </w:p>
    <w:p>
      <w:pPr>
        <w:tabs>
          <w:tab w:val="right" w:pos="9026" w:leader="dot"/>
        </w:tabs>
        <w:spacing w:before="0" w:after="60"/>
        <w:ind w:left="0"/>
      </w:pPr>
      <w:r>
        <w:rPr>
          <w:rFonts w:ascii="Calibri" w:hAnsi="Calibri"/>
          <w:b/>
          <w:i w:val="0"/>
          <w:color w:val="2E6EC8"/>
          <w:sz w:val="21"/>
          <w:u w:val="none"/>
        </w:rPr>
        <w:t>6.  Melléklet – Önellenőrzési megfeleltetés</w:t>
      </w:r>
      <w:r>
        <w:rPr>
          <w:sz w:val="20"/>
        </w:rPr>
        <w:tab/>
        <w:t>36</w:t>
      </w:r>
    </w:p>
    <w:p>
      <w:pPr>
        <w:spacing w:after="0"/>
      </w:pPr>
      <w:r>
        <w:br w:type="page"/>
      </w:r>
    </w:p>
    <w:p>
      <w:pPr>
        <w:pBdr>
          <w:bottom w:val="single" w:sz="12" w:space="1" w:color="2E6EC8"/>
        </w:pBdr>
        <w:spacing w:before="360" w:after="80"/>
      </w:pPr>
      <w:r>
        <w:rPr>
          <w:rFonts w:ascii="Calibri" w:hAnsi="Calibri"/>
          <w:b/>
          <w:color w:val="2E6EC8"/>
          <w:sz w:val="32"/>
        </w:rPr>
        <w:t>1.  Bevezetés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SpendWise egy modern, webalapú személyes pénzügyi nyilvántartó alkalmazás. A rendszer célja, hogy a felhasználó egyetlen felületen tudja kezelni a számláit, kategóriáit, költségkereteit, pénzügyi céljait, valamint a különféle bevételi és kiadási tranzakcióit. A projekt különösen azoknak hasznos, akik szeretnék átláthatóbban követni a havi pénzmozgásaikat, de nem kívánnak bonyolult könyvelőprogramot vagy banki analitikai rendszert használni.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témaválasztás szakmai szempontból azért indokolt, mert a pénzügyi adatok kezelése egyszerre kíván meg megbízható backend logikát, jól strukturált adatbázist, biztonságos hitelesítést és áttekinthető felhasználói felületet. Egy ilyen rendszer megvalósítása kiválóan alkalmas arra, hogy bemutassa a teljes veremű webfejlesztés legfontosabb elemeit: az API-tervezést, az állapotkezelést, a jogosultságkezelést, a validációt, a vizuális adatmegjelenítést és a többmodulos alkalmazásszerkezetet.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SpendWise jelenlegi forráscsomagja két fő részből áll. Az első a NestJS alapú backend, amely a hitelesítésért, az üzleti műveletekért és az adatbázis-kezelésért felel. A második a React 19 + Vite alapú frontend, amely felhasználóbarát grafikus felületen keresztül teszi elérhetővé a rendszer szolgáltatásait. A dokumentáció ezért külön figyelmet fordít mindkét oldal részletes bemutatására.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dokumentáció két nagy egységre tagolódik. A fejlesztői dokumentáció technikai oldalról ismerteti a rendszer működését: a környezetet, a modulokat, az adatmodellt, az algoritmusokat, valamint a tesztelés folyamatát. A felhasználói dokumentáció ezzel szemben a program használatára koncentrál, lépésről lépésre bemutatva az indítást, a regisztrációt, az egyes nézeteket és a tipikus hibajelzéseket.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1. ábra – A SpendWise bejelentkezési és regisztrációs oldala.</w:t>
      </w:r>
    </w:p>
    <w:p>
      <w:pPr>
        <w:spacing w:after="0"/>
      </w:pPr>
      <w:r>
        <w:br w:type="page"/>
      </w:r>
    </w:p>
    <w:p>
      <w:pPr>
        <w:pBdr>
          <w:bottom w:val="single" w:sz="12" w:space="1" w:color="2E6EC8"/>
        </w:pBdr>
        <w:spacing w:before="360" w:after="80"/>
      </w:pPr>
      <w:r>
        <w:rPr>
          <w:rFonts w:ascii="Calibri" w:hAnsi="Calibri"/>
          <w:b/>
          <w:color w:val="2E6EC8"/>
          <w:sz w:val="32"/>
        </w:rPr>
        <w:t>2.  Fejlesztői dokumentáció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2.1.  A program szükségessége és eltérése más megoldásoktól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pénzügyi nyilvántartó alkalmazásokból ma már sokféle megoldás létezik, ugyanakkor ezek jelentős része vagy túl egyszerű, vagy túl összetett a hétköznapi felhasználók számára. A SpendWise egyik fő célkitűzése az volt, hogy a költéskövetést és a személyes pénzügyi tervezést könnyen áttekinthető, mégis szakmailag tiszta szerkezetű alkalmazásban egyesítse.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projekt legfontosabb megkülönböztető jellemzője, hogy ugyanabban az alkalmazásban kezeli a számlákat, a kategóriákat, a tranzakciókat, a költségkereteket, a célokat és az ismétlődő tételeket. A rendszer így nem pusztán egy egyszerű bevétel-kiadás lista, hanem egy összetettebb pénzügyi munkafelület. A frontend vizuális statisztikákat is készít, a backend pedig gondoskodik arról, hogy minden művelet kizárólag az adott felhasználó saját adatait érje el.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fejlesztési feladat szakmai értékét tovább növeli, hogy a program nem sablonos CRUD-feladatként valósult meg. Az alkalmazás több ponton üzleti logikát is tartalmaz: tranzakció rögzítésekor frissíti a számlaegyenleget, átvezetésnél két számlát kezel egyszerre, a riportoldalon a frontend automatikus pénzügyi megfigyeléseket készít, valamint a költségkeretek kihasználtságát is valós időben számítja ki.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2.2.  A forráscsomag szerkezete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projekt két külön mappa alatt tartalmazza a frontend és a backend kódot. A frontend Vite + React 19 + TypeScript alapú, a backend NestJS + Prisma + MySQL technológiákra épül. A forrásszerkezet jól elkülöníti a felhasználói felületet, az üzleti logikát és az adatbázis-réteget.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SpendWise/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├── frontend/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│   ├── src/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│   │   ├── api/          ← Axios kliens és interceptorok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│   │   ├── context/      ← AuthContext, FinanceContext, ToastContext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│   │   ├── layout/       ← AppShell (oldalsáv + navigáció)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│   │   ├── pages/        ← Oldalak (Dashboard, Számlák, stb.)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│   │   ├── components/   ← Újrafelhasználható UI elemek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│   │   └── utils/        ← Formázó segédfüggvények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│   ├── index.html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│   └── vite.config.ts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└── backend/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├── prisma/           ← Séma és migrációk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└── src/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    ├── auth/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    ├── user/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    ├── accounts/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    ├── categories/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    ├── transactions/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    ├── budgets/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    ├── goals/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    ├── recurring/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       └── prisma/</w:t>
      </w:r>
    </w:p>
    <w:p>
      <w:pPr>
        <w:spacing w:after="80"/>
      </w:pPr>
    </w:p>
    <w:p>
      <w:pPr>
        <w:shd w:val="clear" w:color="auto" w:fill="EAF1FB"/>
        <w:spacing w:before="120" w:after="120"/>
        <w:ind w:left="170" w:right="170"/>
      </w:pPr>
      <w:r>
        <w:rPr>
          <w:rFonts w:ascii="Calibri" w:hAnsi="Calibri"/>
          <w:b/>
          <w:color w:val="2E6EC8"/>
          <w:sz w:val="20"/>
        </w:rPr>
        <w:t xml:space="preserve">ℹ  </w:t>
      </w:r>
      <w:r>
        <w:rPr>
          <w:rFonts w:ascii="Calibri" w:hAnsi="Calibri"/>
          <w:sz w:val="20"/>
        </w:rPr>
        <w:t>A projekt korábbi verziójában jelen lévő Next.js alapú app/ mappa, a components/ és lib/ könyvtárak, valamint a régi archív .zip állományok eltávolításra kerültek. A jelenlegi kódbázis kizárólag az aktív SpendWise alkalmazás forrásfájljait tartalmazza.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2.3.  Fejlesztőkörnyezet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projekt fejlesztése és futtatása tipikusan lokális fejlesztői környezetben történik. A megoldás két külön futó alkalmazásból áll: a backend alapértelmezetten a 3001-es porton, a frontend pedig Vite fejlesztői módban jellemzően az 5173-as porton fut. Az adatbázis MySQL vagy MariaDB kompatibilis környezetet igényel; Docker Compose segítségével mindkét szolgáltatás egyszerre indítható el.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Elem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Használt eszköz / technológia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Indoklás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Operációs rendszer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Windows 10/11 vagy Linux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projekt platformfüggetlen, Node.js alapú.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Frontend runtime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Node.js 20 + Vite 7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Gyors fejlesztői szerver, modern build-folyamat.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Backend runtime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Node.js 20 + NestJS 10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Moduláris, jól strukturált szerveroldali keretrendszer.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Adatbázis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MySQL 8 / MariaDB 10.6+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Prisma séma mysql providert használ.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ORM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Prisma 5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Típusbiztos adatkezelés, jól karbantartható modellréteg.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Konténerizáció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Docker + Docker Compose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Egységes környezet backend + adatbázis futtatásához.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HTTP kliens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Axios 1.x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Egységes frontend API-kommunikáció és interceptor-kezelés.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Grafikonok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Recharts 3.x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Dashboard és riportnézetek szemléletes adatmegjelenítése.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Animációk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Framer Motion 12.x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Sima átmenetek és interaktív UI animációk.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API dokumentáció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Swagger (OpenAPI)</w:t>
            </w:r>
          </w:p>
        </w:tc>
        <w:tc>
          <w:tcPr>
            <w:tcW w:type="dxa" w:w="396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backend automatikus végpontlistát biztosít a /api/docs útvonalon.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2.4.  A választott technológiák indoklása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backendoldali NestJS választása azért indokolt, mert a keretrendszer kifejezetten alkalmas nagyobb szerkezetű, moduláris Node.js alkalmazások létrehozására. A kontrollerek, szolgáltatások, modulok és guardok jól elkülöníthetők egymástól, ami különösen fontos olyan rendszereknél, ahol több üzleti területet kell kezelni. A SpendWise esetében ez jól látható az auth, user, accounts, transactions, budgets, goals és recurring modulok szétválasztásában.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Prisma ORM használata azért előnyös, mert az adatmodell és az adatbázis-hozzáférés szorosan összekapcsolható. A séma egyetlen központi helyen írja le az entitásokat és kapcsolataikat, ami megkönnyíti a hibák megelőzését és az adatmodell átlátható dokumentálását is.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frontend oldalon a React 19 + TypeScript + Vite kombináció korszerű és produktív választás. A React komponensalapú felépítése támogatja az újrafelhasználhatóságot, a TypeScript erősíti a típusbiztonságot, a Vite pedig gyors fejlesztői élményt ad. A projektben a Context API alapú állapotkezelés elegendőnek bizonyult, ezért nem volt szükség külön Redux vagy más külső store bevezetésére.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diagramokhoz és kimutatásokhoz a Recharts használata indokolt, mert a pénzügyi adatok értelmezését jelentősen segíti a grafikus megjelenítés. A rendszer így nemcsak listázza az adatokat, hanem azokból szemléletes összefüggéseket is képes mutatni a felhasználónak.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2.5.  Rendszerarchitektúra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SpendWise klasszikus kliens-szerver felépítést alkalmaz. A böngészőben futó React alkalmazás REST API hívásokat küld a backend felé. A backend a hitelesítés, validáció és üzleti logika elvégzése után a Prisma ORM-en keresztül olvassa vagy módosítja az adatbázis tartalmát. Az alkalmazás működésében különösen fontos elem a JWT alapú tokenkezelés, mert ez biztosítja, hogy minden adatlekérés felhasználóhoz kötött legyen.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2. ábra – A SpendWise rendszerének magas szintű architektúrája.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2.6.  Backend felépítése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backend projekt a NestJS moduláris szerkezetére épül. Az alkalmazás belépési pontja a main.ts állomány, amely létrehozza az alkalmazás példányát, beállítja a globális /api előtagot, engedélyezi a CORS-t localhost eredetekre, aktiválja a ValidationPipe-ot, valamint közzéteszi a Swagger felületet a /api/docs útvonalon.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Az AppModule importálja az egyes szakterületi modulokat. Emellett globális APP_GUARD segítségével JWT alapú védelem is érvényesül, vagyis alapértelmezés szerint minden végpont hitelesítést igényel, kivéve azokat, amelyeket a Public dekorátor kifejezetten nyilvánossá tesz.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Backend elem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Szerep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auth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Regisztráció, bejelentkezés, jelszó-hash kezelés, JWT kiadás.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user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bejelentkezett felhasználó profiljának lekérése és módosítása.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accounts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Számlák létrehozása, módosítása, törlése, egyenleg tárolása.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categories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Bevételi és kiadási kategóriák kezelése (INCOME / EXPENSE).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transactions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Tranzakciók létrehozása, listázása, módosítása, törlése, egyenlegfrissítéssel.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budgets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Havi kategóriaalapú költségkeretek kezelése.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goals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Pénzügyi célok és célösszegek nyomon követése.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recurring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Ismétlődő pénzügyi tételek tárolása és szerkesztése.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prisma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Adatbázis-kapcsolat és ORM hozzáférés biztosítása.</w:t>
            </w:r>
          </w:p>
        </w:tc>
      </w:tr>
      <w:tr>
        <w:tc>
          <w:tcPr>
            <w:tcW w:type="dxa" w:w="28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common modul</w:t>
            </w:r>
          </w:p>
        </w:tc>
        <w:tc>
          <w:tcPr>
            <w:tcW w:type="dxa" w:w="623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Megosztott segédeszközök (pl. Public dekorátor).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2.6.1.  Modulok és végpontok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Modul</w:t>
            </w:r>
          </w:p>
        </w:tc>
        <w:tc>
          <w:tcPr>
            <w:tcW w:type="dxa" w:w="413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Fő végpontok</w:t>
            </w:r>
          </w:p>
        </w:tc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Megjegyzés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Auth</w:t>
            </w:r>
          </w:p>
        </w:tc>
        <w:tc>
          <w:tcPr>
            <w:tcW w:type="dxa" w:w="413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POST /auth/register, POST /auth/login</w:t>
            </w:r>
          </w:p>
        </w:tc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Nyilvános végpontok, JWT-t adnak vissza.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User</w:t>
            </w:r>
          </w:p>
        </w:tc>
        <w:tc>
          <w:tcPr>
            <w:tcW w:type="dxa" w:w="413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GET /user/me, PATCH /user/update</w:t>
            </w:r>
          </w:p>
        </w:tc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Saját profil lekérése és szerkesztése.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Accounts</w:t>
            </w:r>
          </w:p>
        </w:tc>
        <w:tc>
          <w:tcPr>
            <w:tcW w:type="dxa" w:w="413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GET/POST /accounts, PATCH/DELETE /accounts/:id</w:t>
            </w:r>
          </w:p>
        </w:tc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Felhasználóhoz kötött számlakezelés.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Categories</w:t>
            </w:r>
          </w:p>
        </w:tc>
        <w:tc>
          <w:tcPr>
            <w:tcW w:type="dxa" w:w="413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GET/POST /categories, PATCH/DELETE /categories/:id</w:t>
            </w:r>
          </w:p>
        </w:tc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Típus szerint INCOME vagy EXPENSE.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Transactions</w:t>
            </w:r>
          </w:p>
        </w:tc>
        <w:tc>
          <w:tcPr>
            <w:tcW w:type="dxa" w:w="413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GET/POST /transactions, PATCH/DELETE /transactions/:id</w:t>
            </w:r>
          </w:p>
        </w:tc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Összetettebb üzleti logika, egyenlegmódosítással.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Budgets</w:t>
            </w:r>
          </w:p>
        </w:tc>
        <w:tc>
          <w:tcPr>
            <w:tcW w:type="dxa" w:w="413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GET/POST /budgets, DELETE /budgets/:id</w:t>
            </w:r>
          </w:p>
        </w:tc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Havi kategóriaalapú keretek.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Goals</w:t>
            </w:r>
          </w:p>
        </w:tc>
        <w:tc>
          <w:tcPr>
            <w:tcW w:type="dxa" w:w="413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GET/POST /goals, PATCH /goals/:id, POST /goals/:id/add, DELETE /goals/:id</w:t>
            </w:r>
          </w:p>
        </w:tc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Célösszegek és megtakarítások.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Recurring</w:t>
            </w:r>
          </w:p>
        </w:tc>
        <w:tc>
          <w:tcPr>
            <w:tcW w:type="dxa" w:w="413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GET/POST /recurring, PATCH/DELETE /recurring/:id</w:t>
            </w:r>
          </w:p>
        </w:tc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Ismétlődő tételek adatainak kezelése.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2.6.2.  Hitelesítés, jogosultságkezelés és validáció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regisztráció során a backend ellenőrzi, hogy az e-mail cím még nem szerepel-e a rendszerben. Sikeres ellenőrzés után a jelszót bcrypt algoritmussal hash-eli, majd létrehozza a felhasználót és azonnal JWT access tokent állít elő. Ez a megoldás kényelmes felhasználói élményt ad, mert külön belépési lépés nélkül is létrejön az első munkamenet.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bejelentkezéskor a rendszer az e-mail cím alapján megkeresi a felhasználót, majd összehasonlítja a megadott jelszót a tárolt hash-sel. Siker esetén ugyanúgy access tokent ad vissza. A frontend ezt a tokent a böngésző localStorage tárolójában őrzi, és minden további kéréshez automatikusan elküldi az Authorization fejlécben.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validációt a globális ValidationPipe és az egyes DTO-osztályok biztosítják. Például a regisztráció csak érvényes e-mail címet fogad el, a jelszó minimális hossza 6 karakter, a budget hónap mezője 1 és 12 közé eshet, az ismétlődő tételeknél pedig a megengedett gyakoriságok enum típusban vannak rögzítve.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09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9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3. ábra – JWT alapú hitelesítési és kérésfeldolgozási folyamat.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2.6.3.  Tranzakciókezelés és számlaegyenleg-frissítés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backend legérdekesebb üzleti logikája a tranzakciók kezelésében jelenik meg. Új tranzakció létrehozásakor a rendszer nem egyszerűen eltárolja a rekordot, hanem annak típusa alapján módosítja a kapcsolódó számla vagy számlák egyenlegét is. Kiadás esetén csökkenti az adott számla egyenlegét, bevétel esetén növeli azt, átvezetésnél pedig az egyik számláról levon, a másikhoz hozzáad.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Fontos tervezési döntés, hogy a létrehozás és az egyenlegmódosítás egyetlen adatbázis-tranzakción belül történik. Így elkerülhető, hogy a rendszer részben frissült állapotba kerüljön. A törlés ennek inverzét valósítja meg: a tárolt tranzakció típusa alapján visszaállítja az egyenleget, majd törli az adatot.</w:t>
      </w:r>
    </w:p>
    <w:p>
      <w:pPr>
        <w:spacing w:after="0"/>
      </w:pPr>
      <w:r>
        <w:br w:type="page"/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2.7.  Frontend felépítése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frontend Vite-alapú React 19 alkalmazás. A belépési pont az App.tsx állomány, amely a Routeren belül külön kezeli a nyilvános auth oldalt és a védett alkalmazásrészt. A védett felület az AppShell elrendezésben jelenik meg, amely egy reszponzív oldalsávot, fejlécet és belső tartalmi területet foglal magában.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Frontend elem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Szerep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api/client.ts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Axios kliens központi baseURL-lel és request/response interceptorokkal.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context/AuthContext.tsx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Hitelesítés, token és felhasználó állapot kezelése.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context/FinanceContext.tsx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Pénzügyi adatok lekérése és CRUD műveletek összefogása.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context/ToastContext.tsx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Globális értesítési rendszer (sikeres/sikertelen műveletek).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layout/AppShell.tsx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Oldalsávos alapelrendezés, profilkezelés, navigáció.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pages/*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egyes üzleti oldalak megjelenítése és kezelőfelületei.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utils/format.ts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Segédfüggvények pénznemformázáshoz és egyéb megjelenítési logikához.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components/UI.tsx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Újrafelhasználható gombok, űrlapmezők, modal, kártya komponensek.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components/Onboarding.tsx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Első bejelentkezéskor megjelenő lépésvarázsló.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2.7.1.  Routing és védett oldalak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routingot a react-router-dom v7 valósítja meg. A rendszer egyetlen nyilvános oldala az /auth útvonal. Minden további képernyő csak érvényes token birtokában érhető el. Ha az AuthContext indításkor nem talál tokent, vagy a /user/me kérés hibával tér vissza, a felhasználó automatikusan az auth oldalra kerül.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Útvonal</w:t>
            </w:r>
          </w:p>
        </w:tc>
        <w:tc>
          <w:tcPr>
            <w:tcW w:type="dxa" w:w="226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Oldal neve</w:t>
            </w:r>
          </w:p>
        </w:tc>
        <w:tc>
          <w:tcPr>
            <w:tcW w:type="dxa" w:w="498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Leírás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/auth</w:t>
            </w:r>
          </w:p>
        </w:tc>
        <w:tc>
          <w:tcPr>
            <w:tcW w:type="dxa" w:w="226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AuthPage</w:t>
            </w:r>
          </w:p>
        </w:tc>
        <w:tc>
          <w:tcPr>
            <w:tcW w:type="dxa" w:w="498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Bejelentkezés és regisztráció – egyetlen nyilvános oldal.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/</w:t>
            </w:r>
          </w:p>
        </w:tc>
        <w:tc>
          <w:tcPr>
            <w:tcW w:type="dxa" w:w="226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DashboardPage</w:t>
            </w:r>
          </w:p>
        </w:tc>
        <w:tc>
          <w:tcPr>
            <w:tcW w:type="dxa" w:w="498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Összesített pénzügyi áttekintő, grafikonokkal.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/accounts</w:t>
            </w:r>
          </w:p>
        </w:tc>
        <w:tc>
          <w:tcPr>
            <w:tcW w:type="dxa" w:w="226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AccountsPage</w:t>
            </w:r>
          </w:p>
        </w:tc>
        <w:tc>
          <w:tcPr>
            <w:tcW w:type="dxa" w:w="498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Számlák kezelése: létrehozás, szerkesztés, törlés.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/transactions</w:t>
            </w:r>
          </w:p>
        </w:tc>
        <w:tc>
          <w:tcPr>
            <w:tcW w:type="dxa" w:w="226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TransactionsPage</w:t>
            </w:r>
          </w:p>
        </w:tc>
        <w:tc>
          <w:tcPr>
            <w:tcW w:type="dxa" w:w="498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Tranzakciók rögzítése, szűrése, szerkesztése, törlése.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/budgets</w:t>
            </w:r>
          </w:p>
        </w:tc>
        <w:tc>
          <w:tcPr>
            <w:tcW w:type="dxa" w:w="226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BudgetsPage</w:t>
            </w:r>
          </w:p>
        </w:tc>
        <w:tc>
          <w:tcPr>
            <w:tcW w:type="dxa" w:w="498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Havi kategóriaalapú keretfigyelés.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/goals</w:t>
            </w:r>
          </w:p>
        </w:tc>
        <w:tc>
          <w:tcPr>
            <w:tcW w:type="dxa" w:w="226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GoalsPage</w:t>
            </w:r>
          </w:p>
        </w:tc>
        <w:tc>
          <w:tcPr>
            <w:tcW w:type="dxa" w:w="498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Megtakarítási célok nyomon követése.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/recurring</w:t>
            </w:r>
          </w:p>
        </w:tc>
        <w:tc>
          <w:tcPr>
            <w:tcW w:type="dxa" w:w="226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RecurringPage</w:t>
            </w:r>
          </w:p>
        </w:tc>
        <w:tc>
          <w:tcPr>
            <w:tcW w:type="dxa" w:w="498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Ismétlődő tételek kezelése és szerkesztése.</w:t>
            </w:r>
          </w:p>
        </w:tc>
      </w:tr>
      <w:tr>
        <w:tc>
          <w:tcPr>
            <w:tcW w:type="dxa" w:w="181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/reports</w:t>
            </w:r>
          </w:p>
        </w:tc>
        <w:tc>
          <w:tcPr>
            <w:tcW w:type="dxa" w:w="226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ReportsPage</w:t>
            </w:r>
          </w:p>
        </w:tc>
        <w:tc>
          <w:tcPr>
            <w:tcW w:type="dxa" w:w="498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Részletes pénzügyi kimutatások és grafikonok.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2.7.2.  Reszponzív oldalsáv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Az AppShell állandó oldalsávot alkalmaz, hamburger-gomb nélkül. Az elrendezés három megjelenési módban működik, amelyek között a böngésző szélessége alapján automatikusan vált a CSS:</w:t>
      </w:r>
    </w:p>
    <w:p>
      <w:pPr>
        <w:pStyle w:val="ListBullet"/>
        <w:spacing w:after="60" w:before="0"/>
        <w:ind w:left="397"/>
      </w:pPr>
      <w:r>
        <w:rPr>
          <w:rFonts w:ascii="Calibri" w:hAnsi="Calibri"/>
          <w:color w:val="2E6EC8"/>
          <w:sz w:val="21"/>
        </w:rPr>
        <w:t xml:space="preserve">• </w:t>
      </w:r>
      <w:r>
        <w:rPr>
          <w:rFonts w:ascii="Calibri" w:hAnsi="Calibri"/>
          <w:sz w:val="21"/>
        </w:rPr>
        <w:t>Asztali nézet (1001 px felett): teljes szélességű oldalsáv menüfeliratokkal.</w:t>
      </w:r>
    </w:p>
    <w:p>
      <w:pPr>
        <w:pStyle w:val="ListBullet"/>
        <w:spacing w:after="60" w:before="0"/>
        <w:ind w:left="397"/>
      </w:pPr>
      <w:r>
        <w:rPr>
          <w:rFonts w:ascii="Calibri" w:hAnsi="Calibri"/>
          <w:color w:val="2E6EC8"/>
          <w:sz w:val="21"/>
        </w:rPr>
        <w:t xml:space="preserve">• </w:t>
      </w:r>
      <w:r>
        <w:rPr>
          <w:rFonts w:ascii="Calibri" w:hAnsi="Calibri"/>
          <w:sz w:val="21"/>
        </w:rPr>
        <w:t>Táblagép nézet (769–1000 px): 64 px széles, ikon alapú oldalsáv, a feliratok rejtve.</w:t>
      </w:r>
    </w:p>
    <w:p>
      <w:pPr>
        <w:pStyle w:val="ListBullet"/>
        <w:spacing w:after="60" w:before="0"/>
        <w:ind w:left="397"/>
      </w:pPr>
      <w:r>
        <w:rPr>
          <w:rFonts w:ascii="Calibri" w:hAnsi="Calibri"/>
          <w:color w:val="2E6EC8"/>
          <w:sz w:val="21"/>
        </w:rPr>
        <w:t xml:space="preserve">• </w:t>
      </w:r>
      <w:r>
        <w:rPr>
          <w:rFonts w:ascii="Calibri" w:hAnsi="Calibri"/>
          <w:sz w:val="21"/>
        </w:rPr>
        <w:t>Mobilnézet (768 px alatt): vízszintes navigációs sáv a képernyő tetején, vízszintesen görgethető.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2.7.3.  Context-ek és kliensoldali adatkezelés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Az AuthContext felelős a munkamenet kezeléséért. Képes regisztrálni, bejelentkeztetni, kijelentkeztetni, újratölteni a felhasználó adatát, valamint profilmódosítást végrehajtani. A FinanceContext ezzel párhuzamosan az összes pénzügyi erőforrást betölti: számlákat, kategóriákat, kereteket, tranzakciókat, célokat és ismétlődő tételeket.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FinanceContext minden írási művelet után újratölti az összes érintett adatot. Ez egyszerű, jól követhető megoldás, amely kis és közepes adatmennyiségnél megfelelően kiszámítható viselkedést biztosít.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2.7.4.  Oldalak rövid technikai leírása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Oldal</w:t>
            </w:r>
          </w:p>
        </w:tc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Fő feladat</w:t>
            </w:r>
          </w:p>
        </w:tc>
        <w:tc>
          <w:tcPr>
            <w:tcW w:type="dxa" w:w="45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Technikai sajátosság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AuthPage</w:t>
            </w:r>
          </w:p>
        </w:tc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Bejelentkezés és regisztráció</w:t>
            </w:r>
          </w:p>
        </w:tc>
        <w:tc>
          <w:tcPr>
            <w:tcW w:type="dxa" w:w="45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Ugyanazon nézeten kezeli a két módot; vizuális demódiagrammal.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DashboardPage</w:t>
            </w:r>
          </w:p>
        </w:tc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Összkép a pénzügyekről</w:t>
            </w:r>
          </w:p>
        </w:tc>
        <w:tc>
          <w:tcPr>
            <w:tcW w:type="dxa" w:w="45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Grafikonok (AreaChart, PieChart), legutóbbi tranzakciók, keret-állapot.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AccountsPage</w:t>
            </w:r>
          </w:p>
        </w:tc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Számlák listája és kezelése</w:t>
            </w:r>
          </w:p>
        </w:tc>
        <w:tc>
          <w:tcPr>
            <w:tcW w:type="dxa" w:w="45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Havi bevétel/kiadás statisztika számlánként; egyenleg szerkeszthető.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TransactionsPage</w:t>
            </w:r>
          </w:p>
        </w:tc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Tranzakciók kezelése</w:t>
            </w:r>
          </w:p>
        </w:tc>
        <w:tc>
          <w:tcPr>
            <w:tcW w:type="dxa" w:w="45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Szűrés, táblázatos megjelenítés, BarChart kategóriabontás.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BudgetsPage</w:t>
            </w:r>
          </w:p>
        </w:tc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Havi keretek</w:t>
            </w:r>
          </w:p>
        </w:tc>
        <w:tc>
          <w:tcPr>
            <w:tcW w:type="dxa" w:w="45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Kategória alapú limit és kihasználtsági folyamatjelző.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GoalsPage</w:t>
            </w:r>
          </w:p>
        </w:tc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Megtakarítási célok</w:t>
            </w:r>
          </w:p>
        </w:tc>
        <w:tc>
          <w:tcPr>
            <w:tcW w:type="dxa" w:w="45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Célösszeg, megtakarított összeg, deadline, százalékos haladás.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RecurringPage</w:t>
            </w:r>
          </w:p>
        </w:tc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Ismétlődő tételek</w:t>
            </w:r>
          </w:p>
        </w:tc>
        <w:tc>
          <w:tcPr>
            <w:tcW w:type="dxa" w:w="45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Aktív/inaktív állapot; szerkesztési modal (EditRecurringModal).</w:t>
            </w:r>
          </w:p>
        </w:tc>
      </w:tr>
      <w:tr>
        <w:tc>
          <w:tcPr>
            <w:tcW w:type="dxa" w:w="215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ReportsPage</w:t>
            </w:r>
          </w:p>
        </w:tc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Részletes kimutatások</w:t>
            </w:r>
          </w:p>
        </w:tc>
        <w:tc>
          <w:tcPr>
            <w:tcW w:type="dxa" w:w="453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12 havi AreaChart, kategória PieChart, automatikus megfigyelések.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4. ábra – A Dashboard képernyő áttekintése.</w:t>
      </w:r>
    </w:p>
    <w:p>
      <w:pPr>
        <w:spacing w:after="0"/>
      </w:pPr>
      <w:r>
        <w:br w:type="page"/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2.8.  Adatbázis és adatszerkezet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projekt adatbázis-rétegét Prisma séma írja le. Az adatmodell a felhasználó, számla és tranzakció mellett külön modelleket tartalmaz az auth tokenekhez, kategóriákhoz, célokhoz, költségkeretekhez, ismétlődő tételekhez, valamint a tranzakciókhoz köthető címkékhez is. Ez a felépítés egy valódi pénzügyi rendszer igényeit tükrözi.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4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5. ábra – A SpendWise egyszerűsített entitás-kapcsolat diagramja.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2.8.1.  User és AuthToken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Mező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Típus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Leírás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User.id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 (cuid)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Elsődleges kulcs, egyedi felhasználó-azonosító.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User.email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String, unique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Bejelentkezéshez használt e-mail cím.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User.password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Bcrypt hash-elt jelszó.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User.name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String?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Megjelenített név.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User.currency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Alapértelmezett pénznem, kezdetben HUF.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User.imageUrl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String?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Profilkép URL, jelenleg opcionális.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AuthToken.token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String, unique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Időkorlátos azonosító hitelesítési célokra.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AuthToken.type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Enum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RESET_PASSWORD vagy VERIFY_EMAIL.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AuthToken.expiresAt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DateTime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Lejárati idő.</w:t>
            </w:r>
          </w:p>
        </w:tc>
      </w:tr>
    </w:tbl>
    <w:p>
      <w:pPr>
        <w:spacing w:after="40"/>
      </w:pP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User entitás központi szerepet játszik: gyakorlatilag minden más üzleti adat ehhez kapcsolódik, biztosítva, hogy a többfelhasználós működés során ne keveredhessenek egymással az adatok.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2.8.2.  Account és Category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Mező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Típus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Leírás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Account.name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számla neve (pl. Készpénz, Bankszámla).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Account.balance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Decimal(12,2)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Aktuális egyenleg, szerkeszthető a felületen.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Account.color / icon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String?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felhasználói felületen használt vizuális metaadatok.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Account.userId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Tulajdonos felhasználó azonosítója.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Category.name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Kategória neve (pl. Élelmiszer, Fizetés).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Category.type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Enum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INCOME, EXPENSE.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Category.color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String?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Hex-kód; a grafikonokban kategóriánkénti szín.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Category.userId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Tulajdonos felhasználó azonosítója.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Unique(userId,name,type)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Összetett egyediség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Azonos típusú kategória nem duplikálható.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2.8.3.  Transaction, Tag és TransactionTag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Mező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Típus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Leírás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Transaction.amount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Decimal(12,2)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pénzmozgás összege.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Transaction.note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Text?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Szabad szöveges megjegyzés.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Transaction.place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String?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Helyszín vagy partner neve.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Transaction.date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DateTime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tranzakció dátuma.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Transaction.type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Enum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EXPENSE, INCOME vagy TRANSFER.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Transaction.categoryId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String?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Opcionális kategória-kapcsolat.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Transaction.fromAccountId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String?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Forrásszámla.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Transaction.toAccountId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String?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Célszámla átvezetés esetén.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Tag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Külön entitás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Felhasználóhoz kötött szabad szöveges címke.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TransactionTag</w:t>
            </w:r>
          </w:p>
        </w:tc>
        <w:tc>
          <w:tcPr>
            <w:tcW w:type="dxa" w:w="198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Kapcsolótábla</w:t>
            </w:r>
          </w:p>
        </w:tc>
        <w:tc>
          <w:tcPr>
            <w:tcW w:type="dxa" w:w="470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Sok-sok kapcsolat tranzakciók és címkék között.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2.8.4.  Budget, Goal és RecurringTransaction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Entitás</w:t>
            </w:r>
          </w:p>
        </w:tc>
        <w:tc>
          <w:tcPr>
            <w:tcW w:type="dxa" w:w="368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Lényeges mezők</w:t>
            </w:r>
          </w:p>
        </w:tc>
        <w:tc>
          <w:tcPr>
            <w:tcW w:type="dxa" w:w="300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Szerep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Budget</w:t>
            </w:r>
          </w:p>
        </w:tc>
        <w:tc>
          <w:tcPr>
            <w:tcW w:type="dxa" w:w="368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limitAmount, month, year, categoryId</w:t>
            </w:r>
          </w:p>
        </w:tc>
        <w:tc>
          <w:tcPr>
            <w:tcW w:type="dxa" w:w="300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Kategória alapú havi költségkeret.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Goal</w:t>
            </w:r>
          </w:p>
        </w:tc>
        <w:tc>
          <w:tcPr>
            <w:tcW w:type="dxa" w:w="368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name, targetAmount, savedAmount, deadline</w:t>
            </w:r>
          </w:p>
        </w:tc>
        <w:tc>
          <w:tcPr>
            <w:tcW w:type="dxa" w:w="300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Megtakarítási cél követése.</w:t>
            </w:r>
          </w:p>
        </w:tc>
      </w:tr>
      <w:tr>
        <w:tc>
          <w:tcPr>
            <w:tcW w:type="dxa" w:w="238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RecurringTransaction</w:t>
            </w:r>
          </w:p>
        </w:tc>
        <w:tc>
          <w:tcPr>
            <w:tcW w:type="dxa" w:w="368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name, amount, type, frequency, nextDate, active</w:t>
            </w:r>
          </w:p>
        </w:tc>
        <w:tc>
          <w:tcPr>
            <w:tcW w:type="dxa" w:w="3005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Ismétlődő tétel definíciója.</w:t>
            </w:r>
          </w:p>
        </w:tc>
      </w:tr>
    </w:tbl>
    <w:p>
      <w:pPr>
        <w:spacing w:after="40"/>
      </w:pP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RecurringTransaction modul jelenleg főként adatnyilvántartó szerepet tölt be, vagyis az ütemezett automatikus könyvelést még nem végzi el. Az aktív/inaktív állapot és a szerkesztési lehetőség viszont teljes mértékben elérhető a felületen.</w:t>
      </w:r>
    </w:p>
    <w:p>
      <w:pPr>
        <w:spacing w:after="0"/>
      </w:pPr>
      <w:r>
        <w:br w:type="page"/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2.9.  Tipikus algoritmusok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projekt több olyan algoritmust is tartalmaz, amelyek túlmutatnak az egyszerű rekordmentésen. Az alábbiakban öt jellemző folyamat kerül bemutatásra.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2.9.1.  Regisztráció és azonnali munkamenet-nyitás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regisztrációs algoritmus először ellenőrzi az e-mail cím egyediségét, majd hash-eli a jelszót (bcrypt), létrehozza a felhasználót, végül JWT tokent generál és azonnal visszaad. Ez azt jelenti, hogy a felhasználó egyetlen művelettel nemcsak fiókot készít, hanem azonnal be is lép a rendszerbe, külön bejelentkezési lépés nélkül.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2.9.2.  Tranzakció létrehozása és számlaegyenleg-frissítés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Új tranzakció rögzítésekor a rendszer a típus alapján eldönti, hogy csökkenti, növeli vagy két számla között mozgatja az összeget. A művelet és az egyenlegmódosítás egyetlen adatbázis-tranzakción belül történik, így konzisztens marad az állapot. TRANSFER típusnál a fromAccountId és a toAccountId is kötelező.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2.9.3.  Tranzakció törlése és állapot-visszaállítás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Törléskor a rendszer előbb megkeresi az eredeti tranzakciót, majd az előző logika inverzét hajtja végre. Kiadásnál visszanöveli az egyenleget, bevételnél csökkenti, átvezetésnél pedig mindkét számla helyreáll. Ez különösen fontos, hogy a számlák mindig konzisztens egyenleget mutassanak.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2.9.4.  Költségkeret-kihasználtság számítása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frontend a megadott budget rekordokhoz hozzárendeli az adott hónap és kategória EXPENSE típusú tranzakcióit, összegzi azokat, kiszámítja a limithez viszonyított arányt, és ebből vezeti le az exceeded, remaining és ratio értékeket. Ez a logika támogatja a vizuális visszajelzést és a figyelmeztetéseket.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2.9.5.  Automatikus riportüzenetek összeállítása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riportmodul a tranzakciókból kiszámítja a legnagyobb kiadást, a domináns költési kategóriát, a budget-túllépéseket, a legerősebb költési napot és az átlagos napi költési tempót. E mutatók alapján rövid, hangulat szerinti üzeneteket generál, amelyek a felhasználó számára gyorsan értelmezhető megfigyeléseket adnak.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2.10.  Tesztelés és tesztdokumentáció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program tesztelése során nemcsak az ideális felhasználói útvonalakat kell ellenőrizni, hanem a hibás adatokra, hiányos kérésekre és jogosultsági problémákra adott reakciókat is. A jelen rendszer esetében különösen fontos volt a hitelesítés, a validáció és az egyenlegkezelés vizsgálata.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Azonosító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Tesztkörülmény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Várt eredmény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Megfigyelés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T01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Érvényes regisztráció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Felhasználó létrejön, token érkezik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frontend azonnal belépteti a felhasználót.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T02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Duplikált e-mail regisztráció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Hibaüzenet a backendtől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felhasználó nem jön létre másodszor.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T03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Hibás jelszavas bejelentkezés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401 auth hiba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munkamenet nem indul el.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T04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Token nélküli kérés védett végpontra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Hozzáférés megtagadva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frontend az auth oldalra irányít.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T05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EXPENSE tranzakció létrehozása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forrásszámla egyenlege csökken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összesítés és lista is frissül.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T06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INCOME tranzakció létrehozása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forrásszámla egyenlege nő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Dashboard kártyák frissülnek (zöld szín).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T07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TRANSFER tranzakció létrehozása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Egyik számla csökken, másik nő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Mindkét számla állapota konzisztens marad.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T08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Érvénytelen budget hónap (pl. 13)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Validációs hiba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rekord nem kerül mentésre.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T09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Tranzakció törlése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egyenleg visszaáll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listából is eltűnik a tranzakció.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T10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Ismétlődő tétel szerkesztése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módosítások megjelennek a listában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EditRecurringModal megfelelően ment.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T11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Számla egyenlegének szerkesztése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új egyenleg megjelenik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AccountsPage-en szerkesztési mód elérhetővé válik.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T12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Tranzakció típusának módosítása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kategória mező alaphelyzetbe kerül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EditTransactionModal típusfüggő kategóriát mutat.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T13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TRANSFER típus 1 számlánál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Figyelmeztető üzenet jelenik meg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felhasználó kap visszajelzést a hiányzó célszámláról.</w:t>
            </w:r>
          </w:p>
        </w:tc>
      </w:tr>
      <w:tr>
        <w:tc>
          <w:tcPr>
            <w:tcW w:type="dxa" w:w="10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T14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Mobilnézet (≤768 px)</w:t>
            </w:r>
          </w:p>
        </w:tc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Vízszintes navigáció jelenik meg felül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oldalsáv eltűnik, a navigáció áthelyeződik.</w:t>
            </w:r>
          </w:p>
        </w:tc>
      </w:tr>
    </w:tbl>
    <w:p>
      <w:pPr>
        <w:spacing w:after="40"/>
      </w:pP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teszteket érdemes különböző böngészőkben és képernyőszélességeken is lefuttatni. A reszponzív elrendezés három töréspontnál változik (1000 px, 768 px), ezért mindhárom tartományban javasolt az ellenőrzés.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2.11.  Tesztelői hozzáférés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jelenlegi rendszerben nincs előre beégetett vendégfiók vagy külön tesztelői bypass útvonal. Emiatt a legcélszerűbb tesztelési módszer az, hogy a vizsgáztató vagy tesztelő a regisztrációs oldalon saját próba-fiókot hoz létre. A regisztráció azonnal munkamenetet is biztosít, így külön belépésre sincs szükség.</w:t>
      </w:r>
    </w:p>
    <w:p>
      <w:pPr>
        <w:shd w:val="clear" w:color="auto" w:fill="FFF8E1"/>
        <w:spacing w:before="120" w:after="120"/>
        <w:ind w:left="170" w:right="170"/>
      </w:pPr>
      <w:r>
        <w:rPr>
          <w:rFonts w:ascii="Calibri" w:hAnsi="Calibri"/>
          <w:b/>
          <w:color w:val="2E6EC8"/>
          <w:sz w:val="20"/>
        </w:rPr>
        <w:t xml:space="preserve">⚠  </w:t>
      </w:r>
      <w:r>
        <w:rPr>
          <w:rFonts w:ascii="Calibri" w:hAnsi="Calibri"/>
          <w:sz w:val="20"/>
        </w:rPr>
        <w:t>Javasolt bemutató hozzáférés: Ha a beadás előtt külön demonstrációs fiókot hozol létre, itt célszerű megadni a teszteléshez használható e-mail címet és jelszót. Példa formátum: teszt@spendwise.local / spendwise123. Csak olyan adatot írj be, amelyet valóban létrehoztál a saját adatbázisodban.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2.12.  Fejlesztési lehetőségek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Fejlesztési irány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Indoklás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Automatikus ismétlődő könyvelés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recurring modul jelenleg csak tárolja a tételeket; időzített job-bal automatizálható lenne.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Teljes tranzakció-újraszámítás PATCH-nél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módosítás során összeg/típus változáshoz korrekt egyenleg-visszaszámítás szükséges.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Admin vagy több szerepkörös rendszer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Audit-funkció, felhasználókezelés; a séma előkészített AuthToken modellt tartalmaz.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Címkék frontend támogatása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Tag és TransactionTag modellek a sémában megvannak, de a felület még nem használja ki.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Export PDF-be vagy CSV-be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Gyakorlati felhasználói igény a kimutatások letöltéséhez.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Automatikus egység- és e2e tesztek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jelenlegi forráskódban nincsenek érdemi tesztek; Jest + Supertest alapon bővíthető.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AI-alapú tanácsadó modul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Személyre szabott, természetes nyelvű elemzések a felhasználó tranzakciói alapján.</w:t>
            </w:r>
          </w:p>
        </w:tc>
      </w:tr>
      <w:tr>
        <w:tc>
          <w:tcPr>
            <w:tcW w:type="dxa" w:w="311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Jelszó-helyreállítás</w:t>
            </w:r>
          </w:p>
        </w:tc>
        <w:tc>
          <w:tcPr>
            <w:tcW w:type="dxa" w:w="5953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AuthToken modell már elkészült, az e-mail alapú folyamat még hiányzik.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Bdr>
          <w:bottom w:val="single" w:sz="12" w:space="1" w:color="2E6EC8"/>
        </w:pBdr>
        <w:spacing w:before="360" w:after="80"/>
      </w:pPr>
      <w:r>
        <w:rPr>
          <w:rFonts w:ascii="Calibri" w:hAnsi="Calibri"/>
          <w:b/>
          <w:color w:val="2E6EC8"/>
          <w:sz w:val="32"/>
        </w:rPr>
        <w:t>3.  Felhasználói dokumentáció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3.1.  A program célja és fő funkciói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SpendWise olyan webalkalmazás, amely a személyes pénzügyek áttekintését segíti. A felhasználó a rendszerben számlákat hozhat létre, tranzakciókat rögzíthet, kategóriákat kezelhet, havi költségkereteket állíthat be, megtakarítási célokat vezethet, valamint ismétlődő pénzügyi tételeket rögzíthet.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program legfontosabb funkciói: bejelentkezés és regisztráció, saját profil kezelése, számlák létrehozása és egyenleg-módosítása, bevételek és kiadások rögzítése, átvezetések kezelése, kategóriák létrehozása, havi keretfigyelés, megtakarítási célok követése, ismétlődő tételek szerkesztése, valamint pénzügyi riportok megjelenítése.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3.2.  Szükséges hardver és szoftver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Erőforrás</w:t>
            </w:r>
          </w:p>
        </w:tc>
        <w:tc>
          <w:tcPr>
            <w:tcW w:type="dxa" w:w="65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Minimum / javaslat</w:t>
            </w:r>
          </w:p>
        </w:tc>
      </w:tr>
      <w:tr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Eszköz</w:t>
            </w:r>
          </w:p>
        </w:tc>
        <w:tc>
          <w:tcPr>
            <w:tcW w:type="dxa" w:w="65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PC, laptop vagy tablet, modern böngésző futtatására alkalmas hardverrel.</w:t>
            </w:r>
          </w:p>
        </w:tc>
      </w:tr>
      <w:tr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Operációs rendszer</w:t>
            </w:r>
          </w:p>
        </w:tc>
        <w:tc>
          <w:tcPr>
            <w:tcW w:type="dxa" w:w="65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Windows 10/11, macOS, Linux vagy más, korszerű böngészőt támogató rendszer.</w:t>
            </w:r>
          </w:p>
        </w:tc>
      </w:tr>
      <w:tr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Böngésző</w:t>
            </w:r>
          </w:p>
        </w:tc>
        <w:tc>
          <w:tcPr>
            <w:tcW w:type="dxa" w:w="65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Google Chrome, Microsoft Edge, Mozilla Firefox (legújabb verzió ajánlott).</w:t>
            </w:r>
          </w:p>
        </w:tc>
      </w:tr>
      <w:tr>
        <w:tc>
          <w:tcPr>
            <w:tcW w:type="dxa" w:w="255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Fejlesztői futtatáshoz</w:t>
            </w:r>
          </w:p>
        </w:tc>
        <w:tc>
          <w:tcPr>
            <w:tcW w:type="dxa" w:w="652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Node.js 20+, pnpm vagy npm, Docker Desktop, MySQL/MariaDB adatbázis.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3.3.  Telepítés és indítás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rendszer két külön projektből áll, ezért a használathoz először a backendet, majd a frontendet kell elindítani. Az ajánlott módszer a Docker Compose, amellyel mindkét szolgáltatás és az adatbázis egyszerre indul el.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3.3.1.  Docker Compose alapú indítás (ajánlott)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projekt gyökerében futtatandó parancsok: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# Első indítás / kódváltozás után: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docker compose up -d --build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# Egyszerű indítás (ha már buildelve van):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docker compose up -d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# Leállítás: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docker compose down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# Élő logok: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docker compose logs -f backend</w:t>
      </w:r>
    </w:p>
    <w:p>
      <w:pPr>
        <w:spacing w:after="80"/>
      </w:pP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Sikeres indítás után: az API a http://localhost:3001/api, a Swagger dokumentáció a http://localhost:3001/api/docs, a frontend pedig a http://localhost:5173 címen érhető el.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3.3.2.  Kézi indítás (fejlesztői mód)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Backend indítása (backend/ mappában):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pnpm install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# .env fájl szükséges: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DATABASE_URL="mysql://root:root@localhost:3306/spendwise"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JWT_SECRET="spendwise-super-secret-jwt-key"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npx prisma db push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pnpm run start:dev</w:t>
      </w:r>
    </w:p>
    <w:p>
      <w:pPr>
        <w:spacing w:after="80"/>
      </w:pP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Frontend indítása (frontend/ mappában):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pnpm install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pnpm run dev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 xml:space="preserve"> 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# Opcionális .env.local:</w:t>
      </w:r>
    </w:p>
    <w:p>
      <w:pPr>
        <w:shd w:val="clear" w:color="auto" w:fill="1E2738"/>
        <w:spacing w:before="0" w:after="0"/>
        <w:ind w:left="227"/>
      </w:pPr>
      <w:r>
        <w:rPr>
          <w:rFonts w:ascii="Courier New" w:hAnsi="Courier New"/>
          <w:color w:val="C8E0FF"/>
          <w:sz w:val="18"/>
        </w:rPr>
        <w:t>VITE_API_URL=http://localhost:3001/api</w:t>
      </w:r>
    </w:p>
    <w:p>
      <w:pPr>
        <w:spacing w:after="80"/>
      </w:pPr>
    </w:p>
    <w:p>
      <w:pPr>
        <w:shd w:val="clear" w:color="auto" w:fill="FFF8E1"/>
        <w:spacing w:before="120" w:after="120"/>
        <w:ind w:left="170" w:right="170"/>
      </w:pPr>
      <w:r>
        <w:rPr>
          <w:rFonts w:ascii="Calibri" w:hAnsi="Calibri"/>
          <w:b/>
          <w:color w:val="2E6EC8"/>
          <w:sz w:val="20"/>
        </w:rPr>
        <w:t xml:space="preserve">⚠  </w:t>
      </w:r>
      <w:r>
        <w:rPr>
          <w:rFonts w:ascii="Calibri" w:hAnsi="Calibri"/>
          <w:sz w:val="20"/>
        </w:rPr>
        <w:t>Az indítási sorrend fontos: a backend mindig előbb fusson, különben a frontend nem tud adatot lekérni. Üres oldal vagy hitelesítési hiba esetén először ellenőrizd, hogy a Docker konténerek elindultak-e.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3.4.  Regisztráció és bejelentkezés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rendszer használatának első lépése a regisztráció vagy a belépés. Az auth oldalon a felhasználó válthat a bejelentkezési és a regisztrációs mód között. Regisztrációkor névl, e-mail cím, jelszó és opcionálisan pénznem adható meg. Sikeres regisztráció után a rendszer azonnal belépteti a felhasználót.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Bejelentkezéskor két mező kötelező: e-mail cím és jelszó. A belépés után a rendszer a felhasználót a Dashboard oldalra irányítja. A munkamenet megőrzése a böngésző localStorage tárhelyén tárolt JWT tokennel történik.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6. ábra – A bejelentkezési oldal és a regisztrációs mód képi szemléltetése.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3.5.  Az alkalmazás részletes használata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3.5.1.  Dashboard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bejelentkezés utáni kezdőnézet a Dashboard. Itt a felhasználó gyors összesítést kap az egyenlegekről, az aktuális havi bevételről (zölddel jelölve) és kiadásról (pirossal), a közelmúlt tranzakcióiról, a főbb költési kategóriákról és a keretek állapotáról. A nézet célja, hogy a napi használat során egyetlen pillantással áttekinthető legyen az aktuális pénzügyi helyzet.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7. ábra – A Dashboard összesítő nézete grafikonokkal és metrika-kártyákkal.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3.5.2.  Számlák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Számlák oldalon a felhasználó különféle pénzügyi zsebeket hozhat létre (például készpénz, bankszámla, megtakarítás). Minden számlához tartozik aktuális egyenleg, valamint opcionális szín és ikon. Az egyenleg a szerkesztési modalban közvetlenül módosítható; az aktuális érték előre be van töltve a mezőbe. A számlák szerkesztése és törlése a sorokban lévő műveleti gombokkal érhető el. A listatáblázat számlánként mutatja a havi bevétel és kiadás egyenlegét is.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3.5.3.  Tranzakciók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Tranzakciók nézet a rendszer egyik legfontosabb munkaterülete. Itt lehet új bevételt, kiadást vagy átvezetést rögzíteni. Az összeg és a Számla mező kötelező (csillaggal jelölt), a kategória pedig EXPENSE típusnál ajánlott a keretfigyelés érdekében. A felület táblázatos listát, szűrést és grafikus kategória-bontást is tartalmaz.</w:t>
      </w:r>
    </w:p>
    <w:p>
      <w:pPr>
        <w:pStyle w:val="ListBullet"/>
        <w:spacing w:after="60" w:before="0"/>
        <w:ind w:left="397"/>
      </w:pPr>
      <w:r>
        <w:rPr>
          <w:rFonts w:ascii="Calibri" w:hAnsi="Calibri"/>
          <w:color w:val="2E6EC8"/>
          <w:sz w:val="21"/>
        </w:rPr>
        <w:t xml:space="preserve">• </w:t>
      </w:r>
      <w:r>
        <w:rPr>
          <w:rFonts w:ascii="Calibri" w:hAnsi="Calibri"/>
          <w:sz w:val="21"/>
        </w:rPr>
        <w:t>Bevétel (INCOME): egy számlát növel.</w:t>
      </w:r>
    </w:p>
    <w:p>
      <w:pPr>
        <w:pStyle w:val="ListBullet"/>
        <w:spacing w:after="60" w:before="0"/>
        <w:ind w:left="397"/>
      </w:pPr>
      <w:r>
        <w:rPr>
          <w:rFonts w:ascii="Calibri" w:hAnsi="Calibri"/>
          <w:color w:val="2E6EC8"/>
          <w:sz w:val="21"/>
        </w:rPr>
        <w:t xml:space="preserve">• </w:t>
      </w:r>
      <w:r>
        <w:rPr>
          <w:rFonts w:ascii="Calibri" w:hAnsi="Calibri"/>
          <w:sz w:val="21"/>
        </w:rPr>
        <w:t>Kiadás (EXPENSE): egy számlát csökkent; kategória ajánlott.</w:t>
      </w:r>
    </w:p>
    <w:p>
      <w:pPr>
        <w:pStyle w:val="ListBullet"/>
        <w:spacing w:after="60" w:before="0"/>
        <w:ind w:left="397"/>
      </w:pPr>
      <w:r>
        <w:rPr>
          <w:rFonts w:ascii="Calibri" w:hAnsi="Calibri"/>
          <w:color w:val="2E6EC8"/>
          <w:sz w:val="21"/>
        </w:rPr>
        <w:t xml:space="preserve">• </w:t>
      </w:r>
      <w:r>
        <w:rPr>
          <w:rFonts w:ascii="Calibri" w:hAnsi="Calibri"/>
          <w:sz w:val="21"/>
        </w:rPr>
        <w:t>Átvezetés (TRANSFER): forrásszámla csökken, célszámla nő; mindkét számla kötelező.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tranzakciók szerkesztésekor a típus és a számla mezők is módosíthatók. Típus váltásakor a kategória mező automatikusan alaphelyzetbe kerül.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8. ábra – A tranzakciókezelő oldal szűrőkkel és kategória-grafikonnal.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3.5.4.  Költségkeretek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Keretek oldalon havi, kategória alapú limit állítható be. Például meghatározható, hogy az adott hónapban az élelmiszer kategóriára mennyit szeretne költeni a felhasználó. A rendszer ezután összeveti a tényleges EXPENSE tranzakciókat a beállított limittel, és vizuális folyamatjelzőn mutatja a kihasználtság mértékét. Túllépés esetén figyelmeztető jelzés jelenik meg.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3.5.5.  Pénzügyi célok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Célok oldalon a felhasználó megtakarítási célokat rögzíthet (például nyaralásra, laptopra, vésztartalékra). A célhoz megadható célösszeg, aktuálisan megtakarított összeg, határidő és vizuális színjelölés. A rendszer százalékosan érzékelteti az előrehaladást.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3.5.6.  Ismétlődő tételek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Az Ismétlődők oldalon olyan rendszeresen jelentkező tételek tárolhatók, mint például havi előfizetések vagy rendszeres bevételek. A felhasználó megadhat összeget, típust, kategóriát, számlakapcsolatot, gyakoriságot (DAILY / WEEKLY / MONTHLY / YEARLY) és következő esedékességi dátumot. A ceruzaikonra kattintva szerkesztési modal nyílik, amelyben minden mező módosítható. A jelenlegi verzióban az ismétlődő tételek nem könyvelődnek automatikusan, de emlékeztetőként és tervezési alapként kiválóan használhatók.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9. ábra – A célok és az ismétlődő tételek képi szemléltetése.</w:t>
      </w:r>
    </w:p>
    <w:p>
      <w:pPr>
        <w:spacing w:before="160" w:after="40"/>
      </w:pPr>
      <w:r>
        <w:rPr>
          <w:rFonts w:ascii="Calibri" w:hAnsi="Calibri"/>
          <w:b/>
          <w:color w:val="2E6EC8"/>
          <w:sz w:val="22"/>
        </w:rPr>
        <w:t>3.5.7.  Riportok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Riportok oldal összegző és elemző nézet. A felhasználó itt 12 havi AreaChart-on követheti a bevételek és kiadások alakulását, kategória-megoszlást megjelenítő PieChart-on a kiadási arányokat, valamint automatikusan generált megfigyeléseket is olvashat. Ezek a megfigyelések például a legnagyobb kiadásra, a legdominánsabb kategóriára vagy a budget-túllépésre hívják fel a figyelmet.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8677C"/>
          <w:sz w:val="18"/>
          <w:u w:val="none"/>
        </w:rPr>
        <w:t>10. ábra – A Riportnézet grafikonokkal és automatikus pénzügyi megfigyelésekkel.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3.6.  Beviteli mezők és elvárt formátumok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jelenlegi rendszer elsősorban backend oldali validációra támaszkodik; hibás adat esetén jellemzően a szerver ad vissza hibaüzenetet, amelyet a frontend értesítés formájában jelenít meg.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Felület / mező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Elvárt tartalom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Megjegyzés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Regisztráció – e-mail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Érvényes e-mail cím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backend IsEmail validációt alkalmaz.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Regisztráció – jelszó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Legalább 6 karakter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MinLength(6) szabály érvényes.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Regisztráció – név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Nem üres szöveg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Kötelező mező.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Profil – új jelszó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Legalább 6 karakter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Csak módosításkor szükséges.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Számla neve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Nem üres szöveg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Ajánlott rövid, beszédes megnevezés.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Számla egyenleg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Szám (pozitív vagy negatív)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Szerkesztési modalban módosítható.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Tranzakció összege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Pozitív szám *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Kötelező mező, csillaggal jelölve.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Tranzakció számlája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Létező számla kiválasztása *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Kötelező mező, csillaggal jelölve.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Tranzakció dátuma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Érvényes dátum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IsDateString formátumot vár a backend.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Budget hónap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1 és 12 közötti egész szám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Más érték validációs hibát eredményez.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Budget összeg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Pozitív szám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limitet forintban kell megadni.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Recurring frequency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DAILY / WEEKLY / MONTHLY / YEARLY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Előre meghatározott enum értékek.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Recurring következő dátum</w:t>
            </w:r>
          </w:p>
        </w:tc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Érvényes jövőbeli dátum</w:t>
            </w:r>
          </w:p>
        </w:tc>
        <w:tc>
          <w:tcPr>
            <w:tcW w:type="dxa" w:w="36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IsDateString formátum szükséges.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3.7.  Tipikus hibajelzések és hibás használat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Helyzet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Lehetséges hiba</w:t>
            </w:r>
          </w:p>
        </w:tc>
        <w:tc>
          <w:tcPr>
            <w:tcW w:type="dxa" w:w="340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Felhasználói teendő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Már létező e-mail regisztrációkor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rendszer nem hozza létre a fiókot</w:t>
            </w:r>
          </w:p>
        </w:tc>
        <w:tc>
          <w:tcPr>
            <w:tcW w:type="dxa" w:w="340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Másik e-mail cím használata.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Rossz jelszó bejelentkezéskor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Belépés sikertelen</w:t>
            </w:r>
          </w:p>
        </w:tc>
        <w:tc>
          <w:tcPr>
            <w:tcW w:type="dxa" w:w="340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Az adatok újraellenőrzése.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Védett oldal token nélkül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Automatikus visszairányítás az auth oldalra</w:t>
            </w:r>
          </w:p>
        </w:tc>
        <w:tc>
          <w:tcPr>
            <w:tcW w:type="dxa" w:w="340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Új bejelentkezés szükséges.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Hibás budget hónap (pl. 13)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Validációs hiba, mentés sikertelen</w:t>
            </w:r>
          </w:p>
        </w:tc>
        <w:tc>
          <w:tcPr>
            <w:tcW w:type="dxa" w:w="340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Csak 1–12 közötti hónap adható meg.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Hiányzó számla tranzakciónál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mentés meghiúsul</w:t>
            </w:r>
          </w:p>
        </w:tc>
        <w:tc>
          <w:tcPr>
            <w:tcW w:type="dxa" w:w="340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Ki kell választani a megfelelő számlát.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TRANSFER 1 számlánál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Figyelmeztető üzenet jelenik meg</w:t>
            </w:r>
          </w:p>
        </w:tc>
        <w:tc>
          <w:tcPr>
            <w:tcW w:type="dxa" w:w="340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Legalább 2 számla szükséges átvezetéshez.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Frontend–backend kapcsolat hiánya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Betöltési hiba, üres adatok</w:t>
            </w:r>
          </w:p>
        </w:tc>
        <w:tc>
          <w:tcPr>
            <w:tcW w:type="dxa" w:w="340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Ellenőrizni kell, hogy a backend fut-e.</w:t>
            </w:r>
          </w:p>
        </w:tc>
      </w:tr>
      <w:tr>
        <w:tc>
          <w:tcPr>
            <w:tcW w:type="dxa" w:w="2721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Lejárt vagy érvénytelen token</w:t>
            </w:r>
          </w:p>
        </w:tc>
        <w:tc>
          <w:tcPr>
            <w:tcW w:type="dxa" w:w="294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Automatikus kijelentkezés</w:t>
            </w:r>
          </w:p>
        </w:tc>
        <w:tc>
          <w:tcPr>
            <w:tcW w:type="dxa" w:w="340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Ismételt belépés szükséges.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3.8.  Admin felhasználó és jogosultságok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jelenlegi forráskódban nincs elkülönített admin szerepkör vagy külön admin kezelőfelület. Minden adat kizárólag a bejelentkezett saját felhasználó szemszögéből érhető el. Emiatt a rendszer ezen verziójában külön admin belépést vagy admin funkciókat nem lehet bemutatni.</w:t>
      </w:r>
    </w:p>
    <w:p>
      <w:pPr>
        <w:shd w:val="clear" w:color="auto" w:fill="EAF1FB"/>
        <w:spacing w:before="120" w:after="120"/>
        <w:ind w:left="170" w:right="170"/>
      </w:pPr>
      <w:r>
        <w:rPr>
          <w:rFonts w:ascii="Calibri" w:hAnsi="Calibri"/>
          <w:b/>
          <w:color w:val="2E6EC8"/>
          <w:sz w:val="20"/>
        </w:rPr>
        <w:t xml:space="preserve">ℹ  </w:t>
      </w:r>
      <w:r>
        <w:rPr>
          <w:rFonts w:ascii="Calibri" w:hAnsi="Calibri"/>
          <w:sz w:val="20"/>
        </w:rPr>
        <w:t>Dokumentációs szempontból ezt azért fontos külön kiemelni, mert az ellenőrző lista javasolja az admin felület ismertetését. Mivel ilyen modul jelenleg nem létezik, szakmailag korrekt megoldás a funkció hiányát egyértelműen jelezni.</w:t>
      </w:r>
    </w:p>
    <w:p>
      <w:pPr>
        <w:spacing w:before="240" w:after="60"/>
      </w:pPr>
      <w:r>
        <w:rPr>
          <w:rFonts w:ascii="Calibri" w:hAnsi="Calibri"/>
          <w:b/>
          <w:color w:val="1A4A90"/>
          <w:sz w:val="26"/>
        </w:rPr>
        <w:t>3.9.  Információkérés lehetősége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programmal kapcsolatos kérdések fogadásához célszerű megadni egy kapcsolati e-mail címet. Mivel ilyen adat a forráscsomag nem tartalmaz, a beadás előtt ezt a részt személyre szabottan kell kitölteni.</w:t>
      </w:r>
    </w:p>
    <w:p>
      <w:pPr>
        <w:shd w:val="clear" w:color="auto" w:fill="EAF1FB"/>
        <w:spacing w:before="120" w:after="120"/>
        <w:ind w:left="170" w:right="170"/>
      </w:pPr>
      <w:r>
        <w:rPr>
          <w:rFonts w:ascii="Calibri" w:hAnsi="Calibri"/>
          <w:b/>
          <w:color w:val="2E6EC8"/>
          <w:sz w:val="20"/>
        </w:rPr>
        <w:t xml:space="preserve">ℹ  </w:t>
      </w:r>
      <w:r>
        <w:rPr>
          <w:rFonts w:ascii="Calibri" w:hAnsi="Calibri"/>
          <w:sz w:val="20"/>
        </w:rPr>
        <w:t>Kapcsolati adat helye: Ide írható például a fejlesztő saját e-mail címe vagy egy erre a célra létrehozott cím, pl.: sajat.nev@gmail.com</w:t>
      </w:r>
    </w:p>
    <w:p>
      <w:pPr>
        <w:spacing w:after="0"/>
      </w:pPr>
      <w:r>
        <w:br w:type="page"/>
      </w:r>
    </w:p>
    <w:p>
      <w:pPr>
        <w:pBdr>
          <w:bottom w:val="single" w:sz="12" w:space="1" w:color="2E6EC8"/>
        </w:pBdr>
        <w:spacing w:before="360" w:after="80"/>
      </w:pPr>
      <w:r>
        <w:rPr>
          <w:rFonts w:ascii="Calibri" w:hAnsi="Calibri"/>
          <w:b/>
          <w:color w:val="2E6EC8"/>
          <w:sz w:val="32"/>
        </w:rPr>
        <w:t>4.  Összefoglalás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SpendWise jelenlegi megvalósítása egy jól strukturált, modern webalkalmazás, amely alkalmas a személyes pénzügyi adatok kezelési folyamatainak bemutatására. A projekt erőssége a moduláris NestJS backend, a tiszta Prisma adatmodell, a JWT alapú jogosultságkezelés, valamint az a frontend, amely grafikonokkal és átlátható nézetekkel teszi használhatóvá a rendszert.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Fejlesztői szemmel a legértékesebb eredmény az, hogy a program nem csupán különálló képernyőkből vagy egyszerű adatbeviteli űrlapokból áll, hanem a backend és a frontend szoros együttműködésével valósít meg üzleti szabályokat is. Ilyen például a tranzakciókhoz kapcsolódó számlaegyenleg-frissítés, az átvezetések kezelése, a cost keret-kihasználtság valós idejű számítása, vagy a riportmodul automatikus megfigyelésgenerálása.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felhasználói felület reszponzív: asztali gépen teljes oldalsávos elrendezés, táblagépen ikonalapú kompakt nézet, mobilon vízszintes navigáció fogadja a látogatókat. A vizuális visszajelzések (zöld bevétel, piros kiadás, csillagos kötelező mezők, figyelmeztetések) tudatosan segítik a helyes használatot.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 jövőben a projekt továbbfejleszthető automatizált ismétlődő könyveléssel, exportfunkciókkal, kiterjesztett elemzésekkel, jelszó-visszaállítással vagy akár AI-alapú pénzügyi tanácsadással is. Összességében a SpendWise megfelelő alapot ad arra, hogy vizsgaprojektként vagy záródolgozati témaként bemutassa a teljes veremű webfejlesztés legfontosabb technikai és felhasználói aspektusait.</w:t>
      </w:r>
    </w:p>
    <w:p>
      <w:pPr>
        <w:spacing w:after="0"/>
      </w:pPr>
      <w:r>
        <w:br w:type="page"/>
      </w:r>
    </w:p>
    <w:p>
      <w:pPr>
        <w:pBdr>
          <w:bottom w:val="single" w:sz="12" w:space="1" w:color="2E6EC8"/>
        </w:pBdr>
        <w:spacing w:before="360" w:after="80"/>
      </w:pPr>
      <w:r>
        <w:rPr>
          <w:rFonts w:ascii="Calibri" w:hAnsi="Calibri"/>
          <w:b/>
          <w:color w:val="2E6EC8"/>
          <w:sz w:val="32"/>
        </w:rPr>
        <w:t>5.  Irodalomjegyzék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Az alábbi források a technológiák megértését, a projekt megvalósítását, valamint a dokumentáció szakmai megalapozását segítették.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Típus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Forrás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Könyv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Marijn Haverbeke: Eloquent JavaScript, 3rd Edition, No Starch Press, 2018.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Könyv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Alex Banks – Eve Porcello: Learning React, 2nd Edition, O'Reilly Media, 2020.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Könyv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Kamil Mysliwiec: NestJS Framework – Building scalable server-side applications, 2023.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NestJS Documentation – https://docs.nestjs.com/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Prisma ORM Documentation – https://www.prisma.io/docs/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Vite Guide – https://vite.dev/guide/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React Documentation – https://react.dev/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React Router Documentation – https://reactrouter.com/home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Axios Documentation – https://axios-http.com/docs/intro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Recharts Documentation – https://recharts.org/en-US/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Framer Motion Documentation – https://motion.dev/docs/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Tailwind CSS Documentation – https://tailwindcss.com/docs</w:t>
            </w:r>
          </w:p>
        </w:tc>
      </w:tr>
      <w:tr>
        <w:tc>
          <w:tcPr>
            <w:tcW w:type="dxa" w:w="124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Web</w:t>
            </w:r>
          </w:p>
        </w:tc>
        <w:tc>
          <w:tcPr>
            <w:tcW w:type="dxa" w:w="78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JSON Web Tokens (JWT) – https://jwt.io/introduction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Bdr>
          <w:bottom w:val="single" w:sz="12" w:space="1" w:color="2E6EC8"/>
        </w:pBdr>
        <w:spacing w:before="360" w:after="80"/>
      </w:pPr>
      <w:r>
        <w:rPr>
          <w:rFonts w:ascii="Calibri" w:hAnsi="Calibri"/>
          <w:b/>
          <w:color w:val="2E6EC8"/>
          <w:sz w:val="32"/>
        </w:rPr>
        <w:t>6.  Melléklet – Önellenőrzési megfeleltetés</w:t>
      </w:r>
    </w:p>
    <w:p>
      <w:pPr>
        <w:spacing w:before="0" w:after="100"/>
        <w:ind w:firstLine="0"/>
      </w:pPr>
      <w:r>
        <w:rPr>
          <w:rFonts w:ascii="Calibri" w:hAnsi="Calibri"/>
          <w:b w:val="0"/>
          <w:i w:val="0"/>
          <w:sz w:val="21"/>
          <w:u w:val="none"/>
        </w:rPr>
        <w:t>Az alábbi rövid összegzés segíti annak ellenőrzését, hogy a dokumentáció a beadandó szempontlista főbb elvárásait lefedi-e. A végleges leadás előtt érdemes ezt még egyszer végigolvasni, és a személyes adatokkal, teszt-hozzáféréssel, valamint kapcsolati elérhetőséggel kiegészíteni.</w:t>
      </w:r>
    </w:p>
    <w:tbl>
      <w:tblPr>
        <w:tblW w:type="auto" w:w="0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Szempontcsoport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EAF1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1A3A6E"/>
                <w:sz w:val="20"/>
                <w:u w:val="none"/>
              </w:rPr>
              <w:t>A dokumentáció hol tér ki rá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Bevezetés, cél, célközönség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1.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Fejlesztőkörnyezet és technológiák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2.3.–2.4.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Rendszerarchitektúra, architektúra-ábra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2.5. fejezet és 2. ábra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Backend modulok és végpontok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2.6.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Frontend felépítés és routing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2.7.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Adatszerkezet, adatbázis, ER-diagram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2.8. fejezet és 5. ábra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Legalább 4 tipikus algoritmus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2.9. fejezet (5 algoritmus)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Tesztdokumentáció (≥10 eset)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2.10. fejezet (14 teszteset)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Tesztelői hozzáférés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2.11.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Fejlesztési lehetőségek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2.12. fejezet (8 irány)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Felhasználói működés részletes leírása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3.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Telepítési és indítási útmutató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3.3.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Legalább 5 képernyőkép / ábra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1.–10. ábra (összesen 10)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Beviteli mezők és validáció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3.6.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Hibajelzések magyarázata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3.7.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Admin szerepkör tisztázása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3.8.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Információkérés lehetősége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3.9.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Összefoglalás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5F8FE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4. fejezet</w:t>
            </w:r>
          </w:p>
        </w:tc>
      </w:tr>
      <w:tr>
        <w:tc>
          <w:tcPr>
            <w:tcW w:type="dxa" w:w="481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Irodalomjegyzék</w:t>
            </w:r>
          </w:p>
        </w:tc>
        <w:tc>
          <w:tcPr>
            <w:tcW w:type="dxa" w:w="42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val="clear" w:color="auto" w:fill="FFFFFF"/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5. fejezet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