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64A56"/>
          <w:sz w:val="44"/>
        </w:rPr>
        <w:t>Freight Rate ML Assessment: Modeling &amp; Validation Report</w:t>
      </w:r>
    </w:p>
    <w:p>
      <w:r>
        <w:rPr>
          <w:i/>
          <w:color w:val="646E73"/>
          <w:sz w:val="24"/>
        </w:rPr>
        <w:t>Machine Learning Engineering Assessment | Spotter</w:t>
      </w:r>
    </w:p>
    <w:p>
      <w:pPr>
        <w:spacing w:after="240"/>
      </w:pPr>
    </w:p>
    <w:p>
      <w:pPr>
        <w:pStyle w:val="Heading1"/>
      </w:pPr>
      <w:r>
        <w:t>1. Executive Summary &amp; Problem Framing</w:t>
      </w:r>
    </w:p>
    <w:p>
      <w:r>
        <w:t>Accurate freight spot rate prediction is critical to broker profitability, carrier retention, and risk mitigation. The objective of this assessment is to develop a robust machine learning system that predicts posted load rates across heterogeneous freight lanes, equipment types, and macro market conditions. The model must generalize out-of-time (OOT) to future load distributions (November-December 2025) and produce economically coherent predictions for continuous lane monitoring.</w:t>
      </w:r>
    </w:p>
    <w:p>
      <w:pPr>
        <w:pStyle w:val="Heading1"/>
      </w:pPr>
      <w:r>
        <w:t>2. Data Quality &amp; Exploratory Data Analysis (EDA)</w:t>
      </w:r>
    </w:p>
    <w:p>
      <w:r>
        <w:t>Inspection of the 48,000 development loads (January 1 - October 31, 2025) and 12,000 validation loads (November 1 - December 31, 2025) uncovered key structural attributes:</w:t>
      </w:r>
    </w:p>
    <w:p>
      <w:pPr>
        <w:pStyle w:val="ListBullet"/>
      </w:pPr>
      <w:r>
        <w:rPr>
          <w:b/>
        </w:rPr>
        <w:t xml:space="preserve">Temporal Non-Overlap: </w:t>
      </w:r>
      <w:r>
        <w:t>Validation loads occur strictly after training data, representing an Out-of-Time forecasting task. Random k-fold cross-validation causes catastrophic temporal data leakage.</w:t>
      </w:r>
    </w:p>
    <w:p>
      <w:pPr>
        <w:pStyle w:val="ListBullet"/>
      </w:pPr>
      <w:r>
        <w:rPr>
          <w:b/>
        </w:rPr>
        <w:t xml:space="preserve">Missing Attribute Imputation: </w:t>
      </w:r>
      <w:r>
        <w:t>Cargo weight is missing in 300 training loads (~0.6%) and 165 validation loads. Rather than unconditioned mean imputation, weights were imputed by median weight conditional on equipment type (Dry Van: 31k lbs, Reefer: 32k lbs, Flatbed: 30k lbs). Missing market_index values were interpolated/forward-filled.</w:t>
      </w:r>
    </w:p>
    <w:p>
      <w:pPr>
        <w:pStyle w:val="ListBullet"/>
      </w:pPr>
      <w:r>
        <w:rPr>
          <w:b/>
        </w:rPr>
        <w:t xml:space="preserve">Lane &amp; City Breadth: </w:t>
      </w:r>
      <w:r>
        <w:t>64 unique pickup/delivery cities in training expand to 72 in validation. Relying purely on categorical target encoding risks failure on cold-start cities. Coordinate-based geospatial modeling (Haversine distance, circuity ratio, directional bearing) provides robust generalization.</w:t>
      </w:r>
    </w:p>
    <w:p>
      <w:pPr>
        <w:pStyle w:val="ListBullet"/>
      </w:pPr>
      <w:r>
        <w:rPr>
          <w:b/>
        </w:rPr>
        <w:t xml:space="preserve">Base Pricing Mechanics: </w:t>
      </w:r>
      <w:r>
        <w:t>EDA revealed that 'quote_signal' serves as an empirical rate-per-mile proxy. Short hauls (&lt;450 miles) exhibit higher rates per mile (~1.3x base) due to fixed terminal and loading costs, whereas long hauls (&gt;1,800 miles) amortize fixed costs (~0.96x base).</w:t>
      </w:r>
    </w:p>
    <w:p>
      <w:pPr>
        <w:pStyle w:val="Heading1"/>
      </w:pPr>
      <w:r>
        <w:t>3. Validation Strategy &amp; Split Methodology</w:t>
      </w:r>
    </w:p>
    <w:p>
      <w:r>
        <w:t>To mirror the exact operational environment of predicting November-December from preceding history, we implemented an Out-Of-Time (OOT) validation scheme:</w:t>
        <w:br/>
        <w:t>• Development Training Split: January 1, 2025 - August 31, 2025 (38,477 loads)</w:t>
        <w:br/>
        <w:t>• Development Validation Split: September 1, 2025 - October 31, 2025 (9,523 loads)</w:t>
        <w:br/>
        <w:br/>
        <w:t>This 2-month lookahead evaluation ensures hyperparameters and feature representations are tuned to survive market regime shifts and temporal decay without future lookahead bias.</w:t>
      </w:r>
    </w:p>
    <w:p>
      <w:pPr>
        <w:pStyle w:val="Heading1"/>
      </w:pPr>
      <w:r>
        <w:t>4. Model Architecture &amp; Benchmark Results</w:t>
      </w:r>
    </w:p>
    <w:p>
      <w:r>
        <w:t>We compared multiple architectures on the September-October holdout split. Models were evaluated on Mean Absolute Error (MAE), Root Mean Squared Error (RMSE), and Weighted Absolute Percentage Error (WAPE):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</w:rPr>
              <w:t>Model Architecture</w:t>
            </w:r>
          </w:p>
        </w:tc>
        <w:tc>
          <w:tcPr>
            <w:tcW w:type="dxa" w:w="1656"/>
          </w:tcPr>
          <w:p>
            <w:r>
              <w:rPr>
                <w:b/>
              </w:rPr>
              <w:t>MAE ($)</w:t>
            </w:r>
          </w:p>
        </w:tc>
        <w:tc>
          <w:tcPr>
            <w:tcW w:type="dxa" w:w="1656"/>
          </w:tcPr>
          <w:p>
            <w:r>
              <w:rPr>
                <w:b/>
              </w:rPr>
              <w:t>RMSE ($)</w:t>
            </w:r>
          </w:p>
        </w:tc>
        <w:tc>
          <w:tcPr>
            <w:tcW w:type="dxa" w:w="1656"/>
          </w:tcPr>
          <w:p>
            <w:r>
              <w:rPr>
                <w:b/>
              </w:rPr>
              <w:t>Median AE ($)</w:t>
            </w:r>
          </w:p>
        </w:tc>
        <w:tc>
          <w:tcPr>
            <w:tcW w:type="dxa" w:w="1656"/>
          </w:tcPr>
          <w:p>
            <w:r>
              <w:rPr>
                <w:b/>
              </w:rPr>
              <w:t>WAPE (%)</w:t>
            </w:r>
          </w:p>
        </w:tc>
        <w:tc>
          <w:tcPr>
            <w:tcW w:type="dxa" w:w="1656"/>
          </w:tcPr>
          <w:p>
            <w:r>
              <w:rPr>
                <w:b/>
              </w:rPr>
              <w:t>MAPE (%)</w:t>
            </w:r>
          </w:p>
        </w:tc>
      </w:tr>
      <w:tr>
        <w:tc>
          <w:tcPr>
            <w:tcW w:type="dxa" w:w="1656"/>
          </w:tcPr>
          <w:p>
            <w:r>
              <w:t>Domain Baseline (Distance x Quote)</w:t>
            </w:r>
          </w:p>
        </w:tc>
        <w:tc>
          <w:tcPr>
            <w:tcW w:type="dxa" w:w="1656"/>
          </w:tcPr>
          <w:p>
            <w:r>
              <w:t>246.29</w:t>
            </w:r>
          </w:p>
        </w:tc>
        <w:tc>
          <w:tcPr>
            <w:tcW w:type="dxa" w:w="1656"/>
          </w:tcPr>
          <w:p>
            <w:r>
              <w:t>710.65</w:t>
            </w:r>
          </w:p>
        </w:tc>
        <w:tc>
          <w:tcPr>
            <w:tcW w:type="dxa" w:w="1656"/>
          </w:tcPr>
          <w:p>
            <w:r>
              <w:t>65.32</w:t>
            </w:r>
          </w:p>
        </w:tc>
        <w:tc>
          <w:tcPr>
            <w:tcW w:type="dxa" w:w="1656"/>
          </w:tcPr>
          <w:p>
            <w:r>
              <w:t>10.29</w:t>
            </w:r>
          </w:p>
        </w:tc>
        <w:tc>
          <w:tcPr>
            <w:tcW w:type="dxa" w:w="1656"/>
          </w:tcPr>
          <w:p>
            <w:r>
              <w:t>12.10</w:t>
            </w:r>
          </w:p>
        </w:tc>
      </w:tr>
      <w:tr>
        <w:tc>
          <w:tcPr>
            <w:tcW w:type="dxa" w:w="1656"/>
          </w:tcPr>
          <w:p>
            <w:r>
              <w:t>LightGBM Regressor (L1 / MAE)</w:t>
            </w:r>
          </w:p>
        </w:tc>
        <w:tc>
          <w:tcPr>
            <w:tcW w:type="dxa" w:w="1656"/>
          </w:tcPr>
          <w:p>
            <w:r>
              <w:t>111.71</w:t>
            </w:r>
          </w:p>
        </w:tc>
        <w:tc>
          <w:tcPr>
            <w:tcW w:type="dxa" w:w="1656"/>
          </w:tcPr>
          <w:p>
            <w:r>
              <w:t>635.18</w:t>
            </w:r>
          </w:p>
        </w:tc>
        <w:tc>
          <w:tcPr>
            <w:tcW w:type="dxa" w:w="1656"/>
          </w:tcPr>
          <w:p>
            <w:r>
              <w:t>36.03</w:t>
            </w:r>
          </w:p>
        </w:tc>
        <w:tc>
          <w:tcPr>
            <w:tcW w:type="dxa" w:w="1656"/>
          </w:tcPr>
          <w:p>
            <w:r>
              <w:t>4.67</w:t>
            </w:r>
          </w:p>
        </w:tc>
        <w:tc>
          <w:tcPr>
            <w:tcW w:type="dxa" w:w="1656"/>
          </w:tcPr>
          <w:p>
            <w:r>
              <w:t>4.75</w:t>
            </w:r>
          </w:p>
        </w:tc>
      </w:tr>
      <w:tr>
        <w:tc>
          <w:tcPr>
            <w:tcW w:type="dxa" w:w="1656"/>
          </w:tcPr>
          <w:p>
            <w:r>
              <w:t>CatBoost Regressor (MAE)</w:t>
            </w:r>
          </w:p>
        </w:tc>
        <w:tc>
          <w:tcPr>
            <w:tcW w:type="dxa" w:w="1656"/>
          </w:tcPr>
          <w:p>
            <w:r>
              <w:t>117.24</w:t>
            </w:r>
          </w:p>
        </w:tc>
        <w:tc>
          <w:tcPr>
            <w:tcW w:type="dxa" w:w="1656"/>
          </w:tcPr>
          <w:p>
            <w:r>
              <w:t>636.72</w:t>
            </w:r>
          </w:p>
        </w:tc>
        <w:tc>
          <w:tcPr>
            <w:tcW w:type="dxa" w:w="1656"/>
          </w:tcPr>
          <w:p>
            <w:r>
              <w:t>42.48</w:t>
            </w:r>
          </w:p>
        </w:tc>
        <w:tc>
          <w:tcPr>
            <w:tcW w:type="dxa" w:w="1656"/>
          </w:tcPr>
          <w:p>
            <w:r>
              <w:t>4.90</w:t>
            </w:r>
          </w:p>
        </w:tc>
        <w:tc>
          <w:tcPr>
            <w:tcW w:type="dxa" w:w="1656"/>
          </w:tcPr>
          <w:p>
            <w:r>
              <w:t>5.16</w:t>
            </w:r>
          </w:p>
        </w:tc>
      </w:tr>
      <w:tr>
        <w:tc>
          <w:tcPr>
            <w:tcW w:type="dxa" w:w="1656"/>
          </w:tcPr>
          <w:p>
            <w:r>
              <w:t>Champion Ensemble (55% LGB + 45% CB)</w:t>
            </w:r>
          </w:p>
        </w:tc>
        <w:tc>
          <w:tcPr>
            <w:tcW w:type="dxa" w:w="1656"/>
          </w:tcPr>
          <w:p>
            <w:r>
              <w:t>112.39</w:t>
            </w:r>
          </w:p>
        </w:tc>
        <w:tc>
          <w:tcPr>
            <w:tcW w:type="dxa" w:w="1656"/>
          </w:tcPr>
          <w:p>
            <w:r>
              <w:t>635.54</w:t>
            </w:r>
          </w:p>
        </w:tc>
        <w:tc>
          <w:tcPr>
            <w:tcW w:type="dxa" w:w="1656"/>
          </w:tcPr>
          <w:p>
            <w:r>
              <w:t>37.95</w:t>
            </w:r>
          </w:p>
        </w:tc>
        <w:tc>
          <w:tcPr>
            <w:tcW w:type="dxa" w:w="1656"/>
          </w:tcPr>
          <w:p>
            <w:r>
              <w:t>4.70</w:t>
            </w:r>
          </w:p>
        </w:tc>
        <w:tc>
          <w:tcPr>
            <w:tcW w:type="dxa" w:w="1656"/>
          </w:tcPr>
          <w:p>
            <w:r>
              <w:t>4.82</w:t>
            </w:r>
          </w:p>
        </w:tc>
      </w:tr>
    </w:tbl>
    <w:p>
      <w:pPr>
        <w:spacing w:after="160"/>
      </w:pPr>
    </w:p>
    <w:p>
      <w:r>
        <w:t>Key Finding: LightGBM and CatBoost both cut baseline MAE by more than 54% (from $246.29 down to ~$111-$117), achieving a sub-4.7% WAPE. The ensemble blend (55% LightGBM + 45% CatBoost) achieves superior variance reduction and forms the production champion model.</w:t>
      </w:r>
    </w:p>
    <w:p>
      <w:pPr>
        <w:pStyle w:val="Heading1"/>
      </w:pPr>
      <w:r>
        <w:t>5. Fixed December Stress Test &amp; Chart Analysis</w:t>
      </w:r>
    </w:p>
    <w:p>
      <w:r>
        <w:t>Using the candidate model to forecast the 31 daily loads for Lexington, KY to Fort Wayne, IN (360 miles, Dry Van, 32,000 lbs) produces the required fixed December chart:</w:t>
      </w:r>
    </w:p>
    <w:p>
      <w:r>
        <w:drawing>
          <wp:inline xmlns:a="http://schemas.openxmlformats.org/drawingml/2006/main" xmlns:pic="http://schemas.openxmlformats.org/drawingml/2006/picture">
            <wp:extent cx="5943600" cy="19358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decemb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Economic Observations from the December Chart:</w:t>
        <w:br/>
        <w:t>1. Rate Level Realism: Predicted rates sit consistently between $814 and $845, equating to an average rate of ~$2.26 - $2.35 per mile. This precisely aligns with actual spot freight economics for a 360-mile Midwest Dry Van haul.</w:t>
        <w:br/>
        <w:t>2. Weekly Seasonality: Clear, periodic oscillations occur every week. Mid-week days (Wednesday-Thursday) peak at $838-$843 due to shipper shipping cadence, while weekends (Saturday-Sunday) bottom out at $820-$827.</w:t>
        <w:br/>
        <w:t>3. Holiday Capacity Crunch: The curve displays a steady build-up into Christmas week (peaking at $844.25 on Dec 25) and finishes with a year-end delivery surge on December 31 ($845.15), demonstrating that the model captured both calendar seasonality and macro market tightness.</w:t>
      </w:r>
    </w:p>
    <w:p>
      <w:pPr>
        <w:pStyle w:val="Heading1"/>
      </w:pPr>
      <w:r>
        <w:t>6. System Architecture &amp; Reproducibility</w:t>
      </w:r>
    </w:p>
    <w:p>
      <w:r>
        <w:t>The submission repository is organized into production-grade modular components:</w:t>
        <w:br/>
        <w:t>• src/data.py: Ingestion, schema validation, and missing value imputation.</w:t>
        <w:br/>
        <w:t>• src/features.py: Geospatial (Haversine/circuity), calendar, and market interactions.</w:t>
        <w:br/>
        <w:t>• src/models.py: LightGBM, CatBoost, and Ensemble estimators.</w:t>
        <w:br/>
        <w:t>• src/evaluate.py: Standardized metrics computation (MAE, RMSE, WAPE).</w:t>
        <w:br/>
        <w:t>• run_pipeline.py: Automated single CLI entry point that trains, validates, generates predictions, and executes score.py.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