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color w:val="1F3A5F"/>
        </w:rPr>
        <w:t>Plan Técnico (Diseño): Gestión de Tareas Académicas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2 – Diseñar / Planificar (cómo)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/speckit-plan</w:t>
      </w:r>
    </w:p>
    <w:p>
      <w:pPr>
        <w:ind w:left="340"/>
      </w:pPr>
      <w:r>
        <w:rPr>
          <w:b/>
          <w:i/>
          <w:color w:val="555F6D"/>
        </w:rPr>
        <w:t>Equivale 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design.md</w:t>
      </w:r>
      <w:r>
        <w:rPr>
          <w:b w:val="0"/>
          <w:i/>
          <w:color w:val="555F6D"/>
        </w:rPr>
        <w:t xml:space="preserve"> en la guía SDD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G2)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`spec.md`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`constitution.md`</w:t>
      </w:r>
    </w:p>
    <w:p>
      <w:pPr>
        <w:pStyle w:val="Heading2"/>
      </w:pPr>
      <w:r>
        <w:rPr>
          <w:b w:val="0"/>
          <w:i w:val="0"/>
          <w:color w:val="1F3A5F"/>
        </w:rPr>
        <w:t>1. Resumen</w:t>
      </w:r>
    </w:p>
    <w:p>
      <w:r>
        <w:rPr>
          <w:b w:val="0"/>
          <w:i w:val="0"/>
        </w:rPr>
        <w:t xml:space="preserve">Se construirá una </w:t>
      </w:r>
      <w:r>
        <w:rPr>
          <w:b/>
          <w:i w:val="0"/>
        </w:rPr>
        <w:t>API REST</w:t>
      </w:r>
      <w:r>
        <w:rPr>
          <w:b w:val="0"/>
          <w:i w:val="0"/>
        </w:rPr>
        <w:t xml:space="preserve"> en Node.js, sin dependencias externas, que cumple los requisitos FR-001 a FR-012 y NFR-001 a NFR-005. Tiene cuatro capas (HTTP, servicios, dominio y repositorio) y guarda los datos en un archivo JSON con escritura atómica.</w:t>
      </w:r>
    </w:p>
    <w:p>
      <w:pPr>
        <w:pStyle w:val="Heading2"/>
      </w:pPr>
      <w:r>
        <w:rPr>
          <w:b w:val="0"/>
          <w:i w:val="0"/>
          <w:color w:val="1F3A5F"/>
        </w:rPr>
        <w:t>2. Contexto técnico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Decisión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Lenguaje / versión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JavaScript (CommonJS), Node.js ≥ 20 LTS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Dependencias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Ninguna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node:http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node:fs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node:crypto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node:test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Almacenamiento</w:t>
            </w:r>
          </w:p>
        </w:tc>
        <w:tc>
          <w:tcPr>
            <w:tcW w:type="dxa" w:w="4873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data/tasks.json</w:t>
            </w:r>
            <w:r>
              <w:rPr>
                <w:b w:val="0"/>
                <w:i w:val="0"/>
                <w:sz w:val="19"/>
              </w:rPr>
              <w:t xml:space="preserve"> + caché en memoria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Map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node:test</w:t>
            </w:r>
            <w:r>
              <w:rPr>
                <w:b w:val="0"/>
                <w:i w:val="0"/>
                <w:sz w:val="19"/>
              </w:rPr>
              <w:t xml:space="preserve">; integración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fetch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Meta de desempeño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&lt; 200 ms p95 con 1 000 tareas (NFR-002)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Restricciones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Cuerpo ≤ 10 KB; JSON UTF-8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Verificación de la Constitución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Principio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¿Lo cumple?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Cómo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I. Spec como fuente de verdad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Spec aprobada en G1; cada decisión cita FR/NFR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II. Arquitectura por capas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http → services → domain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services → repository</w:t>
            </w:r>
            <w:r>
              <w:rPr>
                <w:b w:val="0"/>
                <w:i w:val="0"/>
                <w:sz w:val="19"/>
              </w:rPr>
              <w:t>; errores tipados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III. Requisitos verificables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Estrategia de pruebas con el ID del requisito en el nombre (§8)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IV. Incrementos pequeños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26 tareas atómicas con "Hecho cuando…"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V. Seguridad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Validación, 10 KB, 500 genérico y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nosniff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VI. Contratos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Contrato de API en §6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VII. Spec viva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Artefactos versionados en el repositorio</w:t>
            </w:r>
          </w:p>
        </w:tc>
      </w:tr>
    </w:tbl>
    <w:p/>
    <w:p>
      <w:r>
        <w:rPr>
          <w:b/>
          <w:i w:val="0"/>
        </w:rPr>
        <w:t>Complexity Tracking:</w:t>
      </w:r>
      <w:r>
        <w:rPr>
          <w:b w:val="0"/>
          <w:i w:val="0"/>
        </w:rPr>
        <w:t xml:space="preserve"> sin entradas, porque no se agregan dependencias ni hay excepciones a la constitución.</w:t>
      </w:r>
    </w:p>
    <w:p>
      <w:pPr>
        <w:pStyle w:val="Heading2"/>
      </w:pPr>
      <w:r>
        <w:rPr>
          <w:b w:val="0"/>
          <w:i w:val="0"/>
          <w:color w:val="1F3A5F"/>
        </w:rPr>
        <w:t>4. Componentes y arquitectura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 xml:space="preserve">                ┌────────────────────────────────────────┐</w:t>
              <w:br/>
              <w:t xml:space="preserve">  Cliente ────► │  HTTP  (src/http/app.js)               │  rutas, parseo JSON, 10 KB,</w:t>
              <w:br/>
              <w:t xml:space="preserve">                │                                        │  errores → códigos HTTP</w:t>
              <w:br/>
              <w:t xml:space="preserve">                └──────────────┬─────────────────────────┘</w:t>
              <w:br/>
              <w:t xml:space="preserve">                               │</w:t>
              <w:br/>
              <w:t xml:space="preserve">                ┌──────────────▼─────────────────────────┐</w:t>
              <w:br/>
              <w:t xml:space="preserve">                │  Servicios (src/services/taskService)  │  casos de uso US1–US4</w:t>
              <w:br/>
              <w:t xml:space="preserve">                └───────┬───────────────────────┬────────┘</w:t>
              <w:br/>
              <w:t xml:space="preserve">                        │                       │</w:t>
              <w:br/>
              <w:t xml:space="preserve">        ┌───────────────▼──────────┐   ┌────────▼────────────────────────┐</w:t>
              <w:br/>
              <w:t xml:space="preserve">        │ Dominio (src/domain/task)│   │ Repositorio                     │</w:t>
              <w:br/>
              <w:t xml:space="preserve">        │ validación, entidad,     │   │ (src/repository/taskRepository) │</w:t>
              <w:br/>
              <w:t xml:space="preserve">        │ máquina de estados       │   │ Map + JSON atómico              │</w:t>
              <w:br/>
              <w:t xml:space="preserve">        └──────────────────────────┘   └─────────────────────────────────┘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Componente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Responsabilidad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Requisitos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domain/task.js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Entidad Tarea, validación, fechas y transiciones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FR-001, FR-002, FR-003, FR-004, FR-007, FR-008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services/taskService.js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Crear, listar, obtener, editar, cambiar estado y eliminar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FR-005, FR-006, FR-007, FR-008, FR-009, FR-011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repository/taskRepository.js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Persistencia y copias defensivas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http/app.js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Contrato REST y mapeo de errores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FR-012, NFR-001, NFR-004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server.js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Arranque con variables de entorno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Constitución V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Estructura de carpetas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taskflow-sdd/</w:t>
              <w:br/>
              <w:t>├── AGENTS.md / CLAUDE.md            # instrucciones para el agente de IA</w:t>
              <w:br/>
              <w:t>├── .specify/memory/constitution.md  # Fase 0</w:t>
              <w:br/>
              <w:t>├── specs/001-gestion-tareas/</w:t>
              <w:br/>
              <w:t>│   ├── spec.md                      # Fase 1 (requisitos)</w:t>
              <w:br/>
              <w:t>│   ├── plan.md                      # Fase 2 (diseño)</w:t>
              <w:br/>
              <w:t>│   ├── tasks.md                     # Fase 3</w:t>
              <w:br/>
              <w:t>│   ├── implement-report.md          # Fase 4</w:t>
              <w:br/>
              <w:t>│   └── coverage-audit.md            # Fase 5 (validación / auditoría)</w:t>
              <w:br/>
              <w:t>├── src/ {domain, repository, services, http, server.js}</w:t>
              <w:br/>
              <w:t>└── tests/ {domain, service, api}.test.js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Modelo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Tipo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Notas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UUID v4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crypto.randomUUID()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title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1–100 caracteres, recortado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description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≤ 500 caracteres,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""</w:t>
            </w:r>
            <w:r>
              <w:rPr>
                <w:b w:val="0"/>
                <w:i w:val="0"/>
                <w:sz w:val="19"/>
              </w:rPr>
              <w:t xml:space="preserve"> por defecto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subject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obligatorio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dueDate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AAAA-MM-DD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válida en el calendario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priority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enum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baja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alta</w:t>
            </w:r>
            <w:r>
              <w:rPr>
                <w:b w:val="0"/>
                <w:i w:val="0"/>
                <w:sz w:val="19"/>
              </w:rPr>
              <w:t xml:space="preserve"> (por defecto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FR-003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status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enum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en_progreso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createdAt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updatedAt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ISO-8601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generados por el sistema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FR-002, FR-008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Máquina de estados (FR-007)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 xml:space="preserve">  pendiente ◄──────► en_progreso</w:t>
              <w:br/>
              <w:t xml:space="preserve">      │                   │</w:t>
              <w:br/>
              <w:t xml:space="preserve">      └──────► completada ◄┘     (estado final → 409 si se intenta salir)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6. Contrato de la API (v1)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Método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Ruta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Éxito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Errores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/health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NFR-001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POST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201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400, 413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 a FR-004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/tasks?status=&amp;priority=&amp;subject=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 Tarea[]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FR-005, FR-006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400, 404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/tasks/:id/status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400, 404, 409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DELETE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/>
                <w:sz w:val="19"/>
              </w:rPr>
              <w:t>otra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404 / 405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FR-012</w:t>
            </w:r>
          </w:p>
        </w:tc>
      </w:tr>
    </w:tbl>
    <w:p/>
    <w:p>
      <w:r>
        <w:rPr>
          <w:b/>
          <w:i w:val="0"/>
        </w:rPr>
        <w:t>Formato de error: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{ "error": "mensaje", "details": ["..."] }</w:t>
      </w:r>
    </w:p>
    <w:p>
      <w:pPr>
        <w:pStyle w:val="Heading2"/>
      </w:pPr>
      <w:r>
        <w:rPr>
          <w:b w:val="0"/>
          <w:i w:val="0"/>
          <w:color w:val="1F3A5F"/>
        </w:rPr>
        <w:t>7. Decisiones (formato ADR) y alternativas descartadas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ADR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Decisión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Alternativas descartadas y por qué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ADR-01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node:http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Express/Fastify:</w:t>
            </w:r>
            <w:r>
              <w:rPr>
                <w:b w:val="0"/>
                <w:i w:val="0"/>
                <w:sz w:val="19"/>
              </w:rPr>
              <w:t xml:space="preserve"> agregan dependencias (lo prohíbe la Constitución) y son innecesarios para 7 rutas.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NFR-005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Archivo JSON con escritura atómica (tmp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rename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SQLite/PostgreSQL:</w:t>
            </w:r>
            <w:r>
              <w:rPr>
                <w:b w:val="0"/>
                <w:i w:val="0"/>
                <w:sz w:val="19"/>
              </w:rPr>
              <w:t xml:space="preserve"> requieren instalación y sobran para un solo usuario. </w:t>
            </w:r>
            <w:r>
              <w:rPr>
                <w:b/>
                <w:i w:val="0"/>
                <w:sz w:val="19"/>
              </w:rPr>
              <w:t>Escritura directa:</w:t>
            </w:r>
            <w:r>
              <w:rPr>
                <w:b w:val="0"/>
                <w:i w:val="0"/>
                <w:sz w:val="19"/>
              </w:rPr>
              <w:t xml:space="preserve"> corrompe el archivo si el proceso se cae a mitad.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Endpoint separado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 /tasks/:id/status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Cambiar `status` en el PATCH general:</w:t>
            </w:r>
            <w:r>
              <w:rPr>
                <w:b w:val="0"/>
                <w:i w:val="0"/>
                <w:sz w:val="19"/>
              </w:rPr>
              <w:t xml:space="preserve"> mezcla validación de campos con reglas de transición y hace difícil devolver un 409 claro.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FR-007, FR-008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Errores de dominio tipados y mapeados a HTTP en una sola función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Strings o códigos dentro de los servicios:</w:t>
            </w:r>
            <w:r>
              <w:rPr>
                <w:b w:val="0"/>
                <w:i w:val="0"/>
                <w:sz w:val="19"/>
              </w:rPr>
              <w:t xml:space="preserve"> acoplan el dominio a HTTP (viola el Principio II).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FR-011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Copias defensivas en el repositorio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Devolver referencias:</w:t>
            </w:r>
            <w:r>
              <w:rPr>
                <w:b w:val="0"/>
                <w:i w:val="0"/>
                <w:sz w:val="19"/>
              </w:rPr>
              <w:t xml:space="preserve"> permite mutar el estado sin pasar por las validaciones.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Principio II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ADR-06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Descartar el resto del cuerpo &gt; 10 KB y responder 413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Cortar el socket (`req.destroy()`):</w:t>
            </w:r>
            <w:r>
              <w:rPr>
                <w:b w:val="0"/>
                <w:i w:val="0"/>
                <w:sz w:val="19"/>
              </w:rPr>
              <w:t xml:space="preserve"> el cliente no recibe la respuesta 413. </w:t>
            </w:r>
            <w:r>
              <w:rPr>
                <w:b w:val="0"/>
                <w:i/>
                <w:sz w:val="19"/>
              </w:rPr>
              <w:t>(Lo descubrió una prueba durante la implementación; ver AUD-01.)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NFR-004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ADR-07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Filtrado y orden en memoria O(n log n)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Índices:</w:t>
            </w:r>
            <w:r>
              <w:rPr>
                <w:b w:val="0"/>
                <w:i w:val="0"/>
                <w:sz w:val="19"/>
              </w:rPr>
              <w:t xml:space="preserve"> innecesarios para 1 000 tareas; se mide con la prueba NFR-002.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NFR-002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8. Estrategia de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Nivel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Archivo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Qué verifica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Unitarias de dominio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tests/domain.test.js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Validación, fechas, valores por defecto y transiciones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Servicio + persistencia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tests/service.test.js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Casos de uso, orden, filtros y archivo JSON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Integración HTTP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tests/api.test.js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Contrato completo, 4xx/5xx, seguridad y rendimiento (NFR-002)</w:t>
            </w:r>
          </w:p>
        </w:tc>
      </w:tr>
    </w:tbl>
    <w:p/>
    <w:p>
      <w:pPr>
        <w:pStyle w:val="ListBullet"/>
      </w:pPr>
      <w:r>
        <w:rPr>
          <w:b/>
          <w:i w:val="0"/>
        </w:rPr>
        <w:t>Cada prueba lleva el ID del requisito en su nombre</w:t>
      </w:r>
      <w:r>
        <w:rPr>
          <w:b w:val="0"/>
          <w:i w:val="0"/>
        </w:rPr>
        <w:t xml:space="preserve">, por ejemplo </w:t>
      </w:r>
      <w:r>
        <w:rPr>
          <w:rFonts w:ascii="Consolas" w:hAnsi="Consolas"/>
          <w:b w:val="0"/>
          <w:i w:val="0"/>
          <w:color w:val="B03060"/>
        </w:rPr>
        <w:t>[FR-005] US2: lista ordenada…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Validación manual (smoke test) del servidor real para el flujo de punta a punta y la persistencia (FR-010).</w:t>
      </w:r>
    </w:p>
    <w:p>
      <w:pPr>
        <w:pStyle w:val="ListBullet"/>
      </w:pPr>
      <w:r>
        <w:rPr>
          <w:b w:val="0"/>
          <w:i w:val="0"/>
        </w:rPr>
        <w:t xml:space="preserve">Comandos: </w:t>
      </w: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9. Riesgos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Riesgo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Impacto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Mitigación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Escrituras concurrentes en el JSON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Pérdida de datos con varios procesos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Un solo proceso y escritura atómica; BD en la iteración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Crecimiento del archivo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Lentitud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NFR-002 se mide en cada ejecución de pruebas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Enumeración o abuso con cuerpos grandes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Consumo de recursos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Límite de 10 KB (NFR-004)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Cobertura experimental de Node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Métricas inestables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Versión de Node fijada (≥ 20)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✅ Puerta G2 — Checklist antes de aprobar el diseño</w:t>
      </w:r>
    </w:p>
    <w:p>
      <w:pPr>
        <w:pStyle w:val="ListBullet"/>
      </w:pPr>
      <w:r>
        <w:rPr>
          <w:b w:val="0"/>
          <w:i w:val="0"/>
        </w:rPr>
        <w:t>☑ Cubre todos los requisitos y cita sus IDs (§4, §5, §6 y §7).</w:t>
      </w:r>
    </w:p>
    <w:p>
      <w:pPr>
        <w:pStyle w:val="ListBullet"/>
      </w:pPr>
      <w:r>
        <w:rPr>
          <w:b w:val="0"/>
          <w:i w:val="0"/>
        </w:rPr>
        <w:t>☑ Respeta la constitución del proyecto (§3).</w:t>
      </w:r>
    </w:p>
    <w:p>
      <w:pPr>
        <w:pStyle w:val="ListBullet"/>
      </w:pPr>
      <w:r>
        <w:rPr>
          <w:b w:val="0"/>
          <w:i w:val="0"/>
        </w:rPr>
        <w:t>☑ Documenta las alternativas descartadas (§7).</w:t>
      </w:r>
    </w:p>
    <w:p>
      <w:pPr>
        <w:pStyle w:val="ListBullet"/>
      </w:pPr>
      <w:r>
        <w:rPr>
          <w:b w:val="0"/>
          <w:i w:val="0"/>
        </w:rPr>
        <w:t>☑ Incluye una estrategia de pruebas (§8).</w:t>
      </w:r>
    </w:p>
    <w:p>
      <w:pPr>
        <w:pStyle w:val="ListBullet"/>
      </w:pPr>
      <w:r>
        <w:rPr>
          <w:b w:val="0"/>
          <w:i w:val="0"/>
        </w:rPr>
        <w:t>☑ Identifica riesgos de seguridad, rendimiento y migraciones (§9).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Líder técnico, 2026-10-21.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