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  <w:color w:val="1F3A5F"/>
        </w:rPr>
        <w:t>Tareas: Gestión de Tareas Académicas (Iteración 1)</w:t>
      </w:r>
    </w:p>
    <w:p>
      <w:pPr>
        <w:ind w:left="340"/>
      </w:pPr>
      <w:r>
        <w:rPr>
          <w:b/>
          <w:i/>
          <w:color w:val="555F6D"/>
        </w:rPr>
        <w:t>Fase SDD:</w:t>
      </w:r>
      <w:r>
        <w:rPr>
          <w:b w:val="0"/>
          <w:i/>
          <w:color w:val="555F6D"/>
        </w:rPr>
        <w:t xml:space="preserve"> 3 – Descomponer en tareas | </w:t>
      </w:r>
      <w:r>
        <w:rPr>
          <w:b/>
          <w:i/>
          <w:color w:val="555F6D"/>
        </w:rPr>
        <w:t>Comando Spec Kit: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/speckit-tasks</w:t>
      </w:r>
    </w:p>
    <w:p>
      <w:pPr>
        <w:ind w:left="340"/>
      </w:pPr>
      <w:r>
        <w:rPr>
          <w:b/>
          <w:i/>
          <w:color w:val="555F6D"/>
        </w:rPr>
        <w:t>Entradas:</w:t>
      </w:r>
      <w:r>
        <w:rPr>
          <w:b w:val="0"/>
          <w:i/>
          <w:color w:val="555F6D"/>
        </w:rPr>
        <w:t xml:space="preserve"> </w:t>
      </w:r>
      <w:r>
        <w:rPr>
          <w:b w:val="0"/>
          <w:i/>
          <w:color w:val="555F6D"/>
        </w:rPr>
        <w:t>`spec.md`</w:t>
      </w:r>
      <w:r>
        <w:rPr>
          <w:b w:val="0"/>
          <w:i/>
          <w:color w:val="555F6D"/>
        </w:rPr>
        <w:t xml:space="preserve"> · </w:t>
      </w:r>
      <w:r>
        <w:rPr>
          <w:b w:val="0"/>
          <w:i/>
          <w:color w:val="555F6D"/>
        </w:rPr>
        <w:t>`plan.md`</w:t>
      </w:r>
    </w:p>
    <w:p>
      <w:pPr>
        <w:ind w:left="340"/>
      </w:pPr>
      <w:r>
        <w:rPr>
          <w:b/>
          <w:i/>
          <w:color w:val="555F6D"/>
        </w:rPr>
        <w:t>Rama: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001-gestion-tareas</w:t>
      </w:r>
      <w:r>
        <w:rPr>
          <w:b w:val="0"/>
          <w:i/>
          <w:color w:val="555F6D"/>
        </w:rPr>
        <w:t xml:space="preserve"> | </w:t>
      </w:r>
      <w:r>
        <w:rPr>
          <w:b/>
          <w:i/>
          <w:color w:val="555F6D"/>
        </w:rPr>
        <w:t>Fecha:</w:t>
      </w:r>
      <w:r>
        <w:rPr>
          <w:b w:val="0"/>
          <w:i/>
          <w:color w:val="555F6D"/>
        </w:rPr>
        <w:t xml:space="preserve"> 2026-10-21 | </w:t>
      </w:r>
      <w:r>
        <w:rPr>
          <w:b/>
          <w:i/>
          <w:color w:val="555F6D"/>
        </w:rPr>
        <w:t>Estado:</w:t>
      </w:r>
      <w:r>
        <w:rPr>
          <w:b w:val="0"/>
          <w:i/>
          <w:color w:val="555F6D"/>
        </w:rPr>
        <w:t xml:space="preserve"> ✅ Aprobado (puerta G3) y completado</w:t>
      </w:r>
    </w:p>
    <w:p>
      <w:r>
        <w:rPr>
          <w:b/>
          <w:i w:val="0"/>
        </w:rPr>
        <w:t>Formato: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60"/>
        </w:rPr>
        <w:t>[ID] [P?] [Historia] Descripción → archivo</w:t>
      </w:r>
      <w:r>
        <w:rPr>
          <w:b w:val="0"/>
          <w:i w:val="0"/>
        </w:rPr>
        <w:t xml:space="preserve"> · </w:t>
      </w:r>
      <w:r>
        <w:rPr>
          <w:b w:val="0"/>
          <w:i/>
        </w:rPr>
        <w:t>(requisitos)</w:t>
      </w:r>
      <w:r>
        <w:rPr>
          <w:b w:val="0"/>
          <w:i w:val="0"/>
        </w:rPr>
        <w:t xml:space="preserve"> · </w:t>
      </w:r>
      <w:r>
        <w:rPr>
          <w:b/>
          <w:i w:val="0"/>
        </w:rPr>
        <w:t>Hecho cuando:</w:t>
      </w:r>
      <w:r>
        <w:rPr>
          <w:b w:val="0"/>
          <w:i w:val="0"/>
        </w:rPr>
        <w:t xml:space="preserve"> criterio verificable · </w:t>
      </w:r>
      <w:r>
        <w:rPr>
          <w:b/>
          <w:i w:val="0"/>
        </w:rPr>
        <w:t>Depende de:</w:t>
      </w:r>
    </w:p>
    <w:p>
      <w:pPr>
        <w:pStyle w:val="ListBullet"/>
      </w:pPr>
      <w:r>
        <w:rPr>
          <w:b/>
          <w:i w:val="0"/>
        </w:rPr>
        <w:t>[P]</w:t>
      </w:r>
      <w:r>
        <w:rPr>
          <w:b w:val="0"/>
          <w:i w:val="0"/>
        </w:rPr>
        <w:t>: se puede hacer en paralelo (archivos distintos y sin dependencias pendientes).</w:t>
      </w:r>
    </w:p>
    <w:p>
      <w:pPr>
        <w:pStyle w:val="ListBullet"/>
      </w:pPr>
      <w:r>
        <w:rPr>
          <w:b w:val="0"/>
          <w:i w:val="0"/>
        </w:rPr>
        <w:t xml:space="preserve">Se implementa </w:t>
      </w:r>
      <w:r>
        <w:rPr>
          <w:b/>
          <w:i w:val="0"/>
        </w:rPr>
        <w:t>una tarea a la vez</w:t>
      </w:r>
      <w:r>
        <w:rPr>
          <w:b w:val="0"/>
          <w:i w:val="0"/>
        </w:rPr>
        <w:t>, con pruebas y revisión entre tareas (Constitución IV).</w:t>
      </w:r>
    </w:p>
    <w:p>
      <w:pPr>
        <w:pStyle w:val="Heading2"/>
      </w:pPr>
      <w:r>
        <w:rPr>
          <w:b w:val="0"/>
          <w:i w:val="0"/>
          <w:color w:val="1F3A5F"/>
        </w:rPr>
        <w:t>Fase 1: Preparación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T001</w:t>
      </w:r>
      <w:r>
        <w:rPr>
          <w:b w:val="0"/>
          <w:i w:val="0"/>
        </w:rPr>
        <w:t xml:space="preserve"> Crear la estructura de carpetas de </w:t>
      </w:r>
      <w:r>
        <w:rPr>
          <w:rFonts w:ascii="Consolas" w:hAnsi="Consolas"/>
          <w:b w:val="0"/>
          <w:i w:val="0"/>
          <w:color w:val="B03060"/>
        </w:rPr>
        <w:t>plan.md</w:t>
      </w:r>
      <w:r>
        <w:rPr>
          <w:b w:val="0"/>
          <w:i w:val="0"/>
        </w:rPr>
        <w:t xml:space="preserve"> §4.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existen </w:t>
      </w:r>
      <w:r>
        <w:rPr>
          <w:rFonts w:ascii="Consolas" w:hAnsi="Consolas"/>
          <w:b w:val="0"/>
          <w:i w:val="0"/>
          <w:color w:val="B03060"/>
        </w:rPr>
        <w:t>src/{domain,repository,services,http}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tests/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data/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T002</w:t>
      </w:r>
      <w:r>
        <w:rPr>
          <w:b w:val="0"/>
          <w:i w:val="0"/>
        </w:rPr>
        <w:t xml:space="preserve"> Crear </w:t>
      </w:r>
      <w:r>
        <w:rPr>
          <w:rFonts w:ascii="Consolas" w:hAnsi="Consolas"/>
          <w:b w:val="0"/>
          <w:i w:val="0"/>
          <w:color w:val="B03060"/>
        </w:rPr>
        <w:t>package.json</w:t>
      </w:r>
      <w:r>
        <w:rPr>
          <w:b w:val="0"/>
          <w:i w:val="0"/>
        </w:rPr>
        <w:t xml:space="preserve"> con los scripts </w:t>
      </w:r>
      <w:r>
        <w:rPr>
          <w:rFonts w:ascii="Consolas" w:hAnsi="Consolas"/>
          <w:b w:val="0"/>
          <w:i w:val="0"/>
          <w:color w:val="B03060"/>
        </w:rPr>
        <w:t>start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test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coverage</w:t>
      </w:r>
      <w:r>
        <w:rPr>
          <w:b w:val="0"/>
          <w:i w:val="0"/>
        </w:rPr>
        <w:t xml:space="preserve">, sin dependencias. </w:t>
      </w:r>
      <w:r>
        <w:rPr>
          <w:b w:val="0"/>
          <w:i/>
        </w:rPr>
        <w:t>(NFR-005)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60"/>
        </w:rPr>
        <w:t>npm test</w:t>
      </w:r>
      <w:r>
        <w:rPr>
          <w:b w:val="0"/>
          <w:i w:val="0"/>
        </w:rPr>
        <w:t xml:space="preserve"> se ejecuta (aunque todavía no haya pruebas).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T001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T003</w:t>
      </w:r>
      <w:r>
        <w:rPr>
          <w:b w:val="0"/>
          <w:i w:val="0"/>
        </w:rPr>
        <w:t xml:space="preserve"> [P] Redactar la constitución y </w:t>
      </w:r>
      <w:r>
        <w:rPr>
          <w:rFonts w:ascii="Consolas" w:hAnsi="Consolas"/>
          <w:b w:val="0"/>
          <w:i w:val="0"/>
          <w:color w:val="B03060"/>
        </w:rPr>
        <w:t>AGENTS.md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color w:val="B03060"/>
        </w:rPr>
        <w:t>CLAUDE.md</w:t>
      </w:r>
      <w:r>
        <w:rPr>
          <w:b w:val="0"/>
          <w:i w:val="0"/>
        </w:rPr>
        <w:t>.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pasaron la puerta G0.</w:t>
      </w:r>
    </w:p>
    <w:p>
      <w:pPr>
        <w:pStyle w:val="Heading2"/>
      </w:pPr>
      <w:r>
        <w:rPr>
          <w:b w:val="0"/>
          <w:i w:val="0"/>
          <w:color w:val="1F3A5F"/>
        </w:rPr>
        <w:t>Fase 2: Fundamentos (bloquean todas las historias)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T004</w:t>
      </w:r>
      <w:r>
        <w:rPr>
          <w:b w:val="0"/>
          <w:i w:val="0"/>
        </w:rPr>
        <w:t xml:space="preserve"> [P] Escribir las pruebas de dominio: validación, fechas, valores por defecto y transiciones → </w:t>
      </w:r>
      <w:r>
        <w:rPr>
          <w:rFonts w:ascii="Consolas" w:hAnsi="Consolas"/>
          <w:b w:val="0"/>
          <w:i w:val="0"/>
          <w:color w:val="B03060"/>
        </w:rPr>
        <w:t>tests/domain.test.js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(FR-001 a FR-004, FR-007, FR-008)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las pruebas existen y fallan (rojo).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T005</w:t>
      </w:r>
      <w:r>
        <w:rPr>
          <w:b w:val="0"/>
          <w:i w:val="0"/>
        </w:rPr>
        <w:t xml:space="preserve"> Implementar la entidad Tarea → </w:t>
      </w:r>
      <w:r>
        <w:rPr>
          <w:rFonts w:ascii="Consolas" w:hAnsi="Consolas"/>
          <w:b w:val="0"/>
          <w:i w:val="0"/>
          <w:color w:val="B03060"/>
        </w:rPr>
        <w:t>src/domain/task.js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(FR-001, FR-002, FR-003, FR-007)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pasan las 14 pruebas de T004.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T004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T006</w:t>
      </w:r>
      <w:r>
        <w:rPr>
          <w:b w:val="0"/>
          <w:i w:val="0"/>
        </w:rPr>
        <w:t xml:space="preserve"> [P] Implementar </w:t>
      </w:r>
      <w:r>
        <w:rPr>
          <w:rFonts w:ascii="Consolas" w:hAnsi="Consolas"/>
          <w:b w:val="0"/>
          <w:i w:val="0"/>
          <w:color w:val="B03060"/>
        </w:rPr>
        <w:t>TaskRepository</w:t>
      </w:r>
      <w:r>
        <w:rPr>
          <w:b w:val="0"/>
          <w:i w:val="0"/>
        </w:rPr>
        <w:t xml:space="preserve"> en memoria con copias defensivas → </w:t>
      </w:r>
      <w:r>
        <w:rPr>
          <w:rFonts w:ascii="Consolas" w:hAnsi="Consolas"/>
          <w:b w:val="0"/>
          <w:i w:val="0"/>
          <w:color w:val="B03060"/>
        </w:rPr>
        <w:t>src/repository/taskRepository.js</w:t>
      </w:r>
      <w:r>
        <w:rPr>
          <w:b w:val="0"/>
          <w:i w:val="0"/>
        </w:rPr>
        <w:t xml:space="preserve">. </w:t>
      </w:r>
      <w:r>
        <w:rPr>
          <w:b w:val="0"/>
          <w:i/>
        </w:rPr>
        <w:t>(ADR-05)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los objetos devueltos no alteran el estado interno.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T007</w:t>
      </w:r>
      <w:r>
        <w:rPr>
          <w:b w:val="0"/>
          <w:i w:val="0"/>
        </w:rPr>
        <w:t xml:space="preserve"> Implementar el esqueleto HTTP: enrutador, </w:t>
      </w:r>
      <w:r>
        <w:rPr>
          <w:rFonts w:ascii="Consolas" w:hAnsi="Consolas"/>
          <w:b w:val="0"/>
          <w:i w:val="0"/>
          <w:color w:val="B03060"/>
        </w:rPr>
        <w:t>readJson</w:t>
      </w:r>
      <w:r>
        <w:rPr>
          <w:b w:val="0"/>
          <w:i w:val="0"/>
        </w:rPr>
        <w:t xml:space="preserve"> con límite de 10 KB y mapeo de errores → </w:t>
      </w:r>
      <w:r>
        <w:rPr>
          <w:rFonts w:ascii="Consolas" w:hAnsi="Consolas"/>
          <w:b w:val="0"/>
          <w:i w:val="0"/>
          <w:color w:val="B03060"/>
        </w:rPr>
        <w:t>src/http/app.js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(FR-004, FR-012, NFR-001, NFR-004)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60"/>
        </w:rPr>
        <w:t>GET /health</w:t>
      </w:r>
      <w:r>
        <w:rPr>
          <w:b w:val="0"/>
          <w:i w:val="0"/>
        </w:rPr>
        <w:t xml:space="preserve"> responde 200 con </w:t>
      </w:r>
      <w:r>
        <w:rPr>
          <w:rFonts w:ascii="Consolas" w:hAnsi="Consolas"/>
          <w:b w:val="0"/>
          <w:i w:val="0"/>
          <w:color w:val="B03060"/>
        </w:rPr>
        <w:t>nosniff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T008</w:t>
      </w:r>
      <w:r>
        <w:rPr>
          <w:b w:val="0"/>
          <w:i w:val="0"/>
        </w:rPr>
        <w:t xml:space="preserve"> Crear el punto de arranque con </w:t>
      </w:r>
      <w:r>
        <w:rPr>
          <w:rFonts w:ascii="Consolas" w:hAnsi="Consolas"/>
          <w:b w:val="0"/>
          <w:i w:val="0"/>
          <w:color w:val="B03060"/>
        </w:rPr>
        <w:t>PORT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DATA_FILE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color w:val="B03060"/>
        </w:rPr>
        <w:t>src/server.js</w:t>
      </w:r>
      <w:r>
        <w:rPr>
          <w:b w:val="0"/>
          <w:i w:val="0"/>
        </w:rPr>
        <w:t>.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60"/>
        </w:rPr>
        <w:t>npm start</w:t>
      </w:r>
      <w:r>
        <w:rPr>
          <w:b w:val="0"/>
          <w:i w:val="0"/>
        </w:rPr>
        <w:t xml:space="preserve"> muestra "TaskFlow API escuchando…".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T006, T007</w:t>
      </w:r>
    </w:p>
    <w:p>
      <w:r>
        <w:rPr>
          <w:b/>
          <w:i w:val="0"/>
        </w:rPr>
        <w:t>Checkpoint G4-a:</w:t>
      </w:r>
      <w:r>
        <w:rPr>
          <w:b w:val="0"/>
          <w:i w:val="0"/>
        </w:rPr>
        <w:t xml:space="preserve"> los fundamentos fueron revisados y las historias pueden comenzar.</w:t>
      </w:r>
    </w:p>
    <w:p>
      <w:pPr>
        <w:pStyle w:val="Heading2"/>
      </w:pPr>
      <w:r>
        <w:rPr>
          <w:b w:val="0"/>
          <w:i w:val="0"/>
          <w:color w:val="1F3A5F"/>
        </w:rPr>
        <w:t>Fase 3: US1 – Registrar tarea (P1) 🎯 MVP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T009</w:t>
      </w:r>
      <w:r>
        <w:rPr>
          <w:b w:val="0"/>
          <w:i w:val="0"/>
        </w:rPr>
        <w:t xml:space="preserve"> [P] [US1] Prueba de servicio para crear y recuperar → </w:t>
      </w:r>
      <w:r>
        <w:rPr>
          <w:rFonts w:ascii="Consolas" w:hAnsi="Consolas"/>
          <w:b w:val="0"/>
          <w:i w:val="0"/>
          <w:color w:val="B03060"/>
        </w:rPr>
        <w:t>tests/service.test.js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(FR-001, FR-002)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 prueba existe y falla (rojo).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T010</w:t>
      </w:r>
      <w:r>
        <w:rPr>
          <w:b w:val="0"/>
          <w:i w:val="0"/>
        </w:rPr>
        <w:t xml:space="preserve"> [P] [US1] Pruebas de API para </w:t>
      </w:r>
      <w:r>
        <w:rPr>
          <w:rFonts w:ascii="Consolas" w:hAnsi="Consolas"/>
          <w:b w:val="0"/>
          <w:i w:val="0"/>
          <w:color w:val="B03060"/>
        </w:rPr>
        <w:t>POST /tasks</w:t>
      </w:r>
      <w:r>
        <w:rPr>
          <w:b w:val="0"/>
          <w:i w:val="0"/>
        </w:rPr>
        <w:t xml:space="preserve">: 201, 400 con detalles, JSON mal formado y cuerpo vacío → </w:t>
      </w:r>
      <w:r>
        <w:rPr>
          <w:rFonts w:ascii="Consolas" w:hAnsi="Consolas"/>
          <w:b w:val="0"/>
          <w:i w:val="0"/>
          <w:color w:val="B03060"/>
        </w:rPr>
        <w:t>tests/api.test.js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(FR-004)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las pruebas cubren CA-01 a CA-04.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T011</w:t>
      </w:r>
      <w:r>
        <w:rPr>
          <w:b w:val="0"/>
          <w:i w:val="0"/>
        </w:rPr>
        <w:t xml:space="preserve"> [US1] Implementar </w:t>
      </w:r>
      <w:r>
        <w:rPr>
          <w:rFonts w:ascii="Consolas" w:hAnsi="Consolas"/>
          <w:b w:val="0"/>
          <w:i w:val="0"/>
          <w:color w:val="B03060"/>
        </w:rPr>
        <w:t>TaskService.create()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(FR-001 a FR-004)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T009 está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T005, T006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T012</w:t>
      </w:r>
      <w:r>
        <w:rPr>
          <w:b w:val="0"/>
          <w:i w:val="0"/>
        </w:rPr>
        <w:t xml:space="preserve"> [US1] Agregar la ruta </w:t>
      </w:r>
      <w:r>
        <w:rPr>
          <w:rFonts w:ascii="Consolas" w:hAnsi="Consolas"/>
          <w:b w:val="0"/>
          <w:i w:val="0"/>
          <w:color w:val="B03060"/>
        </w:rPr>
        <w:t>POST /tasks</w:t>
      </w:r>
      <w:r>
        <w:rPr>
          <w:b w:val="0"/>
          <w:i w:val="0"/>
        </w:rPr>
        <w:t>.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T010 está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T007, T011</w:t>
      </w:r>
    </w:p>
    <w:p>
      <w:pPr>
        <w:pStyle w:val="Heading2"/>
      </w:pPr>
      <w:r>
        <w:rPr>
          <w:b w:val="0"/>
          <w:i w:val="0"/>
          <w:color w:val="1F3A5F"/>
        </w:rPr>
        <w:t>Fase 4: US2 – Consultar (P1) 🎯 MVP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T013</w:t>
      </w:r>
      <w:r>
        <w:rPr>
          <w:b w:val="0"/>
          <w:i w:val="0"/>
        </w:rPr>
        <w:t xml:space="preserve"> [P] [US2] Pruebas de orden por fecha y prioridad, filtros sin distinguir mayúsculas y filtros inválidos. </w:t>
      </w:r>
      <w:r>
        <w:rPr>
          <w:b w:val="0"/>
          <w:i/>
        </w:rPr>
        <w:t>(FR-005, FR-006)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cubren CA-05 a CA-08.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T014</w:t>
      </w:r>
      <w:r>
        <w:rPr>
          <w:b w:val="0"/>
          <w:i w:val="0"/>
        </w:rPr>
        <w:t xml:space="preserve"> [US2] Implementar </w:t>
      </w:r>
      <w:r>
        <w:rPr>
          <w:rFonts w:ascii="Consolas" w:hAnsi="Consolas"/>
          <w:b w:val="0"/>
          <w:i w:val="0"/>
          <w:color w:val="B03060"/>
        </w:rPr>
        <w:t>list(filters)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get(id)</w:t>
      </w:r>
      <w:r>
        <w:rPr>
          <w:b w:val="0"/>
          <w:i w:val="0"/>
        </w:rPr>
        <w:t xml:space="preserve"> con </w:t>
      </w:r>
      <w:r>
        <w:rPr>
          <w:rFonts w:ascii="Consolas" w:hAnsi="Consolas"/>
          <w:b w:val="0"/>
          <w:i w:val="0"/>
          <w:color w:val="B03060"/>
        </w:rPr>
        <w:t>NotFoundError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(FR-005, FR-006, FR-011)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T013 está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T011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T015</w:t>
      </w:r>
      <w:r>
        <w:rPr>
          <w:b w:val="0"/>
          <w:i w:val="0"/>
        </w:rPr>
        <w:t xml:space="preserve"> [US2] Agregar las rutas </w:t>
      </w:r>
      <w:r>
        <w:rPr>
          <w:rFonts w:ascii="Consolas" w:hAnsi="Consolas"/>
          <w:b w:val="0"/>
          <w:i w:val="0"/>
          <w:color w:val="B03060"/>
        </w:rPr>
        <w:t>GET /tasks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GET /tasks/:id</w:t>
      </w:r>
      <w:r>
        <w:rPr>
          <w:b w:val="0"/>
          <w:i w:val="0"/>
        </w:rPr>
        <w:t>.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las pruebas de API de listado y 404 están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T014</w:t>
      </w:r>
    </w:p>
    <w:p>
      <w:pPr>
        <w:pStyle w:val="Heading2"/>
      </w:pPr>
      <w:r>
        <w:rPr>
          <w:b w:val="0"/>
          <w:i w:val="0"/>
          <w:color w:val="1F3A5F"/>
        </w:rPr>
        <w:t>Fase 5: US3 – Editar y cambiar estado (P2)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T016</w:t>
      </w:r>
      <w:r>
        <w:rPr>
          <w:b w:val="0"/>
          <w:i w:val="0"/>
        </w:rPr>
        <w:t xml:space="preserve"> [P] [US3] Pruebas de edición parcial, edición inválida y transiciones (incluido el 409). </w:t>
      </w:r>
      <w:r>
        <w:rPr>
          <w:b w:val="0"/>
          <w:i/>
        </w:rPr>
        <w:t>(FR-007, FR-008)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cubren CA-09 a CA-12.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T017</w:t>
      </w:r>
      <w:r>
        <w:rPr>
          <w:b w:val="0"/>
          <w:i w:val="0"/>
        </w:rPr>
        <w:t xml:space="preserve"> [US3] Implementar </w:t>
      </w:r>
      <w:r>
        <w:rPr>
          <w:rFonts w:ascii="Consolas" w:hAnsi="Consolas"/>
          <w:b w:val="0"/>
          <w:i w:val="0"/>
          <w:color w:val="B03060"/>
        </w:rPr>
        <w:t>update()</w:t>
      </w:r>
      <w:r>
        <w:rPr>
          <w:b w:val="0"/>
          <w:i w:val="0"/>
        </w:rPr>
        <w:t xml:space="preserve">, que no permite cambiar </w:t>
      </w:r>
      <w:r>
        <w:rPr>
          <w:rFonts w:ascii="Consolas" w:hAnsi="Consolas"/>
          <w:b w:val="0"/>
          <w:i w:val="0"/>
          <w:color w:val="B03060"/>
        </w:rPr>
        <w:t>status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(FR-008)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las pruebas de edición están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T014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T018</w:t>
      </w:r>
      <w:r>
        <w:rPr>
          <w:b w:val="0"/>
          <w:i w:val="0"/>
        </w:rPr>
        <w:t xml:space="preserve"> [US3] Implementar </w:t>
      </w:r>
      <w:r>
        <w:rPr>
          <w:rFonts w:ascii="Consolas" w:hAnsi="Consolas"/>
          <w:b w:val="0"/>
          <w:i w:val="0"/>
          <w:color w:val="B03060"/>
        </w:rPr>
        <w:t>changeStatus()</w:t>
      </w:r>
      <w:r>
        <w:rPr>
          <w:b w:val="0"/>
          <w:i w:val="0"/>
        </w:rPr>
        <w:t xml:space="preserve"> con </w:t>
      </w:r>
      <w:r>
        <w:rPr>
          <w:rFonts w:ascii="Consolas" w:hAnsi="Consolas"/>
          <w:b w:val="0"/>
          <w:i w:val="0"/>
          <w:color w:val="B03060"/>
        </w:rPr>
        <w:t>TransitionError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(FR-007)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 prueba del 409 está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T014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T019</w:t>
      </w:r>
      <w:r>
        <w:rPr>
          <w:b w:val="0"/>
          <w:i w:val="0"/>
        </w:rPr>
        <w:t xml:space="preserve"> [US3] Agregar las rutas </w:t>
      </w:r>
      <w:r>
        <w:rPr>
          <w:rFonts w:ascii="Consolas" w:hAnsi="Consolas"/>
          <w:b w:val="0"/>
          <w:i w:val="0"/>
          <w:color w:val="B03060"/>
        </w:rPr>
        <w:t>PATCH /tasks/:id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PATCH /tasks/:id/status</w:t>
      </w:r>
      <w:r>
        <w:rPr>
          <w:b w:val="0"/>
          <w:i w:val="0"/>
        </w:rPr>
        <w:t>.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el flujo de API de edición y estado está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T017, T018</w:t>
      </w:r>
    </w:p>
    <w:p>
      <w:pPr>
        <w:pStyle w:val="Heading2"/>
      </w:pPr>
      <w:r>
        <w:rPr>
          <w:b w:val="0"/>
          <w:i w:val="0"/>
          <w:color w:val="1F3A5F"/>
        </w:rPr>
        <w:t>Fase 6: US4 – Eliminar (P3)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T020</w:t>
      </w:r>
      <w:r>
        <w:rPr>
          <w:b w:val="0"/>
          <w:i w:val="0"/>
        </w:rPr>
        <w:t xml:space="preserve"> [P] [US4] Pruebas de eliminar (204) y de eliminar una tarea inexistente (404). </w:t>
      </w:r>
      <w:r>
        <w:rPr>
          <w:b w:val="0"/>
          <w:i/>
        </w:rPr>
        <w:t>(FR-009, FR-011)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cubren CA-13 y CA-14.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T021</w:t>
      </w:r>
      <w:r>
        <w:rPr>
          <w:b w:val="0"/>
          <w:i w:val="0"/>
        </w:rPr>
        <w:t xml:space="preserve"> [US4] Implementar </w:t>
      </w:r>
      <w:r>
        <w:rPr>
          <w:rFonts w:ascii="Consolas" w:hAnsi="Consolas"/>
          <w:b w:val="0"/>
          <w:i w:val="0"/>
          <w:color w:val="B03060"/>
        </w:rPr>
        <w:t>remove()</w:t>
      </w:r>
      <w:r>
        <w:rPr>
          <w:b w:val="0"/>
          <w:i w:val="0"/>
        </w:rPr>
        <w:t xml:space="preserve"> y la ruta </w:t>
      </w:r>
      <w:r>
        <w:rPr>
          <w:rFonts w:ascii="Consolas" w:hAnsi="Consolas"/>
          <w:b w:val="0"/>
          <w:i w:val="0"/>
          <w:color w:val="B03060"/>
        </w:rPr>
        <w:t>DELETE /tasks/:id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(FR-009)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T020 está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T014</w:t>
      </w:r>
    </w:p>
    <w:p>
      <w:pPr>
        <w:pStyle w:val="Heading2"/>
      </w:pPr>
      <w:r>
        <w:rPr>
          <w:b w:val="0"/>
          <w:i w:val="0"/>
          <w:color w:val="1F3A5F"/>
        </w:rPr>
        <w:t>Fase 7: Persistencia, seguridad y validación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T022</w:t>
      </w:r>
      <w:r>
        <w:rPr>
          <w:b w:val="0"/>
          <w:i w:val="0"/>
        </w:rPr>
        <w:t xml:space="preserve"> Persistencia JSON atómica que tolera un archivo vacío, más sus pruebas. </w:t>
      </w:r>
      <w:r>
        <w:rPr>
          <w:b w:val="0"/>
          <w:i/>
        </w:rPr>
        <w:t>(FR-010, ADR-02)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los datos sobreviven a una nueva instancia del repositorio (CA-15).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T023</w:t>
      </w:r>
      <w:r>
        <w:rPr>
          <w:b w:val="0"/>
          <w:i w:val="0"/>
        </w:rPr>
        <w:t xml:space="preserve"> [P] Pruebas de seguridad y errores generales: 413, 500 genérico, </w:t>
      </w:r>
      <w:r>
        <w:rPr>
          <w:rFonts w:ascii="Consolas" w:hAnsi="Consolas"/>
          <w:b w:val="0"/>
          <w:i w:val="0"/>
          <w:color w:val="B03060"/>
        </w:rPr>
        <w:t>nosniff</w:t>
      </w:r>
      <w:r>
        <w:rPr>
          <w:b w:val="0"/>
          <w:i w:val="0"/>
        </w:rPr>
        <w:t xml:space="preserve">, 404/405. </w:t>
      </w:r>
      <w:r>
        <w:rPr>
          <w:b w:val="0"/>
          <w:i/>
        </w:rPr>
        <w:t>(NFR-004, FR-012)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las pruebas están en verde y ningún 500 expone detalles.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T024</w:t>
      </w:r>
      <w:r>
        <w:rPr>
          <w:b w:val="0"/>
          <w:i w:val="0"/>
        </w:rPr>
        <w:t xml:space="preserve"> [P] Prueba automatizada de rendimiento con 1 000 tareas. </w:t>
      </w:r>
      <w:r>
        <w:rPr>
          <w:b w:val="0"/>
          <w:i/>
        </w:rPr>
        <w:t>(NFR-002)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p95 &lt; 200 ms.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T025</w:t>
      </w:r>
      <w:r>
        <w:rPr>
          <w:b w:val="0"/>
          <w:i w:val="0"/>
        </w:rPr>
        <w:t xml:space="preserve"> Ejecutar </w:t>
      </w:r>
      <w:r>
        <w:rPr>
          <w:rFonts w:ascii="Consolas" w:hAnsi="Consolas"/>
          <w:b w:val="0"/>
          <w:i w:val="0"/>
          <w:color w:val="B03060"/>
        </w:rPr>
        <w:t>npm run coverage</w:t>
      </w:r>
      <w:r>
        <w:rPr>
          <w:b w:val="0"/>
          <w:i w:val="0"/>
        </w:rPr>
        <w:t xml:space="preserve"> y verificar los umbrales. </w:t>
      </w:r>
      <w:r>
        <w:rPr>
          <w:b w:val="0"/>
          <w:i/>
        </w:rPr>
        <w:t>(NFR-003)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líneas ≥ 90 %, ramas ≥ 85 % y funciones ≥ 90 %.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T026</w:t>
      </w:r>
      <w:r>
        <w:rPr>
          <w:b w:val="0"/>
          <w:i w:val="0"/>
        </w:rPr>
        <w:t xml:space="preserve"> Validación manual (smoke test), README, reporte de implementación y auditoría.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 checklist de cierre está completa y el estado es CONVERGED (puerta G5).</w:t>
      </w:r>
    </w:p>
    <w:p>
      <w:pPr>
        <w:pStyle w:val="Heading2"/>
      </w:pPr>
      <w:r>
        <w:rPr>
          <w:b w:val="0"/>
          <w:i w:val="0"/>
          <w:color w:val="1F3A5F"/>
        </w:rPr>
        <w:t>Dependencias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>T001 ─► T002 ─► T004 ─► T005 ─┬─► T011 ─► T012</w:t>
              <w:br/>
              <w:t xml:space="preserve">               T006 ──────────┤      │</w:t>
              <w:br/>
              <w:t xml:space="preserve">               T007 ─► T008   │      ▼</w:t>
              <w:br/>
              <w:t xml:space="preserve">                              │    T014 ─┬─► T015</w:t>
              <w:br/>
              <w:t xml:space="preserve">                              │          ├─► T017 ─┐</w:t>
              <w:br/>
              <w:t xml:space="preserve">                              │          ├─► T018 ─┴─► T019</w:t>
              <w:br/>
              <w:t xml:space="preserve">                              │          └─► T021</w:t>
              <w:br/>
              <w:t xml:space="preserve">                              └─► T022 ─► T023, T024 ─► T025 ─► T026</w:t>
            </w:r>
          </w:p>
        </w:tc>
      </w:tr>
    </w:tbl>
    <w:p/>
    <w:p>
      <w:r>
        <w:rPr>
          <w:b w:val="0"/>
          <w:i w:val="0"/>
        </w:rPr>
        <w:t>US3 y US4 dependen de US2 (</w:t>
      </w:r>
      <w:r>
        <w:rPr>
          <w:rFonts w:ascii="Consolas" w:hAnsi="Consolas"/>
          <w:b w:val="0"/>
          <w:i w:val="0"/>
          <w:color w:val="B03060"/>
        </w:rPr>
        <w:t>get</w:t>
      </w:r>
      <w:r>
        <w:rPr>
          <w:b w:val="0"/>
          <w:i w:val="0"/>
        </w:rPr>
        <w:t>) y pueden avanzar en paralelo entre sí.</w:t>
      </w:r>
    </w:p>
    <w:p>
      <w:pPr>
        <w:pStyle w:val="Heading2"/>
      </w:pPr>
      <w:r>
        <w:rPr>
          <w:b w:val="0"/>
          <w:i w:val="0"/>
          <w:color w:val="1F3A5F"/>
        </w:rPr>
        <w:t>Matriz de cobertura: requisito → tarea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Requisito</w:t>
            </w:r>
          </w:p>
        </w:tc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Tareas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FR-001, FR-002, FR-003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T004, T005, T009, T011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T004, T007, T010, T011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FR-005, FR-006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T013, T014, T015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T004, T016, T018, T019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T016, T017, T019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T020, T021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T022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T014, T020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T007, T023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NFR-001, NFR-004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T007, T023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T024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T025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T002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Resumen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Fase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Tareas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Completadas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Preparación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Fundamentos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5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US1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4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US2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US3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4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US4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Persistencia, seguridad y validación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5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/>
                <w:i w:val="0"/>
                <w:sz w:val="19"/>
              </w:rPr>
              <w:t>Total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/>
                <w:i w:val="0"/>
                <w:sz w:val="19"/>
              </w:rPr>
              <w:t>26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/>
                <w:i w:val="0"/>
                <w:sz w:val="19"/>
              </w:rPr>
              <w:t>26 (100 %)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✅ Puerta G3 — Checklist antes de aprobar las tareas</w:t>
      </w:r>
    </w:p>
    <w:p>
      <w:pPr>
        <w:pStyle w:val="ListBullet"/>
      </w:pPr>
      <w:r>
        <w:rPr>
          <w:b w:val="0"/>
          <w:i w:val="0"/>
        </w:rPr>
        <w:t>☑ Cada tarea es pequeña y se revisa en minutos.</w:t>
      </w:r>
    </w:p>
    <w:p>
      <w:pPr>
        <w:pStyle w:val="ListBullet"/>
      </w:pPr>
      <w:r>
        <w:rPr>
          <w:b w:val="0"/>
          <w:i w:val="0"/>
        </w:rPr>
        <w:t>☑ Cada tarea tiene su "Hecho cuando…".</w:t>
      </w:r>
    </w:p>
    <w:p>
      <w:pPr>
        <w:pStyle w:val="ListBullet"/>
      </w:pPr>
      <w:r>
        <w:rPr>
          <w:b w:val="0"/>
          <w:i w:val="0"/>
        </w:rPr>
        <w:t>☑ Cada tarea referencia requisitos.</w:t>
      </w:r>
    </w:p>
    <w:p>
      <w:pPr>
        <w:pStyle w:val="ListBullet"/>
      </w:pPr>
      <w:r>
        <w:rPr>
          <w:b w:val="0"/>
          <w:i w:val="0"/>
        </w:rPr>
        <w:t>☑ Las dependencias están marcadas.</w:t>
      </w:r>
    </w:p>
    <w:p>
      <w:pPr>
        <w:pStyle w:val="ListBullet"/>
      </w:pPr>
      <w:r>
        <w:rPr>
          <w:b w:val="0"/>
          <w:i w:val="0"/>
        </w:rPr>
        <w:t>☑ Todos los requisitos están cubiertos por alguna tarea (ver la matriz).</w:t>
      </w:r>
    </w:p>
    <w:p>
      <w:r>
        <w:rPr>
          <w:b/>
          <w:i w:val="0"/>
        </w:rPr>
        <w:t>Aprobado por:</w:t>
      </w:r>
      <w:r>
        <w:rPr>
          <w:b w:val="0"/>
          <w:i w:val="0"/>
        </w:rPr>
        <w:t xml:space="preserve"> Líder técnico, 2026-10-21.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