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  <w:color w:val="1F3A5F"/>
        </w:rPr>
        <w:t>Documento de Auditoría – Validación, Cobertura y Convergencia (Iteración 1)</w:t>
      </w:r>
    </w:p>
    <w:p>
      <w:pPr>
        <w:ind w:left="340"/>
      </w:pPr>
      <w:r>
        <w:rPr>
          <w:b/>
          <w:i/>
          <w:color w:val="555F6D"/>
        </w:rPr>
        <w:t>Fase SDD:</w:t>
      </w:r>
      <w:r>
        <w:rPr>
          <w:b w:val="0"/>
          <w:i/>
          <w:color w:val="555F6D"/>
        </w:rPr>
        <w:t xml:space="preserve"> 5 – Validar | </w:t>
      </w:r>
      <w:r>
        <w:rPr>
          <w:b/>
          <w:i/>
          <w:color w:val="555F6D"/>
        </w:rPr>
        <w:t>Comando Spec Kit:</w:t>
      </w:r>
      <w:r>
        <w:rPr>
          <w:b w:val="0"/>
          <w:i/>
          <w:color w:val="555F6D"/>
        </w:rPr>
        <w:t xml:space="preserve"> </w:t>
      </w:r>
      <w:r>
        <w:rPr>
          <w:rFonts w:ascii="Consolas" w:hAnsi="Consolas"/>
          <w:b w:val="0"/>
          <w:i/>
          <w:color w:val="555F6D"/>
        </w:rPr>
        <w:t>/speckit-converge</w:t>
      </w:r>
      <w:r>
        <w:rPr>
          <w:b w:val="0"/>
          <w:i/>
          <w:color w:val="555F6D"/>
        </w:rPr>
        <w:t xml:space="preserve"> (auditoría de cobertura, </w:t>
      </w:r>
      <w:r>
        <w:rPr>
          <w:b w:val="0"/>
          <w:i/>
          <w:color w:val="555F6D"/>
        </w:rPr>
        <w:t>Speckit-coverage</w:t>
      </w:r>
      <w:r>
        <w:rPr>
          <w:b w:val="0"/>
          <w:i/>
          <w:color w:val="555F6D"/>
        </w:rPr>
        <w:t>)</w:t>
      </w:r>
    </w:p>
    <w:p>
      <w:pPr>
        <w:ind w:left="340"/>
      </w:pPr>
      <w:r>
        <w:rPr>
          <w:b/>
          <w:i/>
          <w:color w:val="555F6D"/>
        </w:rPr>
        <w:t>Rama:</w:t>
      </w:r>
      <w:r>
        <w:rPr>
          <w:b w:val="0"/>
          <w:i/>
          <w:color w:val="555F6D"/>
        </w:rPr>
        <w:t xml:space="preserve"> </w:t>
      </w:r>
      <w:r>
        <w:rPr>
          <w:rFonts w:ascii="Consolas" w:hAnsi="Consolas"/>
          <w:b w:val="0"/>
          <w:i/>
          <w:color w:val="555F6D"/>
        </w:rPr>
        <w:t>001-gestion-tareas</w:t>
      </w:r>
      <w:r>
        <w:rPr>
          <w:b w:val="0"/>
          <w:i/>
          <w:color w:val="555F6D"/>
        </w:rPr>
        <w:t xml:space="preserve"> | </w:t>
      </w:r>
      <w:r>
        <w:rPr>
          <w:b/>
          <w:i/>
          <w:color w:val="555F6D"/>
        </w:rPr>
        <w:t>Fecha de auditoría:</w:t>
      </w:r>
      <w:r>
        <w:rPr>
          <w:b w:val="0"/>
          <w:i/>
          <w:color w:val="555F6D"/>
        </w:rPr>
        <w:t xml:space="preserve"> 2026-10-22</w:t>
      </w:r>
    </w:p>
    <w:p>
      <w:pPr>
        <w:ind w:left="340"/>
      </w:pPr>
      <w:r>
        <w:rPr>
          <w:b/>
          <w:i/>
          <w:color w:val="555F6D"/>
        </w:rPr>
        <w:t>Auditado contra:</w:t>
      </w:r>
      <w:r>
        <w:rPr>
          <w:b w:val="0"/>
          <w:i/>
          <w:color w:val="555F6D"/>
        </w:rPr>
        <w:t xml:space="preserve"> </w:t>
      </w:r>
      <w:r>
        <w:rPr>
          <w:b w:val="0"/>
          <w:i/>
          <w:color w:val="555F6D"/>
        </w:rPr>
        <w:t>`constitution.md`</w:t>
      </w:r>
      <w:r>
        <w:rPr>
          <w:b w:val="0"/>
          <w:i/>
          <w:color w:val="555F6D"/>
        </w:rPr>
        <w:t xml:space="preserve"> · </w:t>
      </w:r>
      <w:r>
        <w:rPr>
          <w:b w:val="0"/>
          <w:i/>
          <w:color w:val="555F6D"/>
        </w:rPr>
        <w:t>`spec.md`</w:t>
      </w:r>
      <w:r>
        <w:rPr>
          <w:b w:val="0"/>
          <w:i/>
          <w:color w:val="555F6D"/>
        </w:rPr>
        <w:t xml:space="preserve"> · </w:t>
      </w:r>
      <w:r>
        <w:rPr>
          <w:b w:val="0"/>
          <w:i/>
          <w:color w:val="555F6D"/>
        </w:rPr>
        <w:t>`plan.md`</w:t>
      </w:r>
      <w:r>
        <w:rPr>
          <w:b w:val="0"/>
          <w:i/>
          <w:color w:val="555F6D"/>
        </w:rPr>
        <w:t xml:space="preserve"> · </w:t>
      </w:r>
      <w:r>
        <w:rPr>
          <w:b w:val="0"/>
          <w:i/>
          <w:color w:val="555F6D"/>
        </w:rPr>
        <w:t>`tasks.md`</w:t>
      </w:r>
    </w:p>
    <w:p>
      <w:pPr>
        <w:pStyle w:val="Heading2"/>
      </w:pPr>
      <w:r>
        <w:rPr>
          <w:b w:val="0"/>
          <w:i w:val="0"/>
          <w:color w:val="1F3A5F"/>
        </w:rPr>
        <w:t>1. Dictamen</w:t>
      </w:r>
    </w:p>
    <w:p>
      <w:pPr>
        <w:pStyle w:val="Heading1"/>
      </w:pPr>
      <w:r>
        <w:rPr>
          <w:b w:val="0"/>
          <w:i w:val="0"/>
          <w:color w:val="1F3A5F"/>
        </w:rPr>
        <w:t>✅ ESTADO: CONVERGED</w:t>
      </w:r>
    </w:p>
    <w:p>
      <w:r>
        <w:rPr>
          <w:b w:val="0"/>
          <w:i w:val="0"/>
        </w:rPr>
        <w:t xml:space="preserve">El resultado cumple </w:t>
      </w:r>
      <w:r>
        <w:rPr>
          <w:b/>
          <w:i w:val="0"/>
        </w:rPr>
        <w:t>cada criterio de aceptación</w:t>
      </w:r>
      <w:r>
        <w:rPr>
          <w:b w:val="0"/>
          <w:i w:val="0"/>
        </w:rPr>
        <w:t xml:space="preserve"> de la especificación, el diseño técnico y los siete principios de la Constitución. No quedan hallazgos críticos ni mayores abiertos.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Dimensión</w:t>
            </w:r>
          </w:p>
        </w:tc>
        <w:tc>
          <w:tcPr>
            <w:tcW w:type="dxa" w:w="4873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Cobertura de código (líneas / ramas / funciones)</w:t>
            </w:r>
          </w:p>
        </w:tc>
        <w:tc>
          <w:tcPr>
            <w:tcW w:type="dxa" w:w="4873"/>
          </w:tcPr>
          <w:p>
            <w:r>
              <w:rPr>
                <w:b/>
                <w:i w:val="0"/>
                <w:sz w:val="19"/>
              </w:rPr>
              <w:t>100 % / 100 % / 100 %</w:t>
            </w:r>
            <w:r>
              <w:rPr>
                <w:b w:val="0"/>
                <w:i w:val="0"/>
                <w:sz w:val="19"/>
              </w:rPr>
              <w:t xml:space="preserve"> ✅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Pruebas automatizadas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b/>
                <w:i w:val="0"/>
                <w:sz w:val="19"/>
              </w:rPr>
              <w:t>36 / 36 pasan</w:t>
            </w:r>
            <w:r>
              <w:rPr>
                <w:b w:val="0"/>
                <w:i w:val="0"/>
                <w:sz w:val="19"/>
              </w:rPr>
              <w:t xml:space="preserve"> ✅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Requisitos funcionales con prueba trazable (ID en el nombre)</w:t>
            </w:r>
          </w:p>
        </w:tc>
        <w:tc>
          <w:tcPr>
            <w:tcW w:type="dxa" w:w="4873"/>
          </w:tcPr>
          <w:p>
            <w:r>
              <w:rPr>
                <w:b/>
                <w:i w:val="0"/>
                <w:sz w:val="19"/>
              </w:rPr>
              <w:t>12 / 12</w:t>
            </w:r>
            <w:r>
              <w:rPr>
                <w:b w:val="0"/>
                <w:i w:val="0"/>
                <w:sz w:val="19"/>
              </w:rPr>
              <w:t xml:space="preserve"> ✅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Requisitos no funcionales verificados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b/>
                <w:i w:val="0"/>
                <w:sz w:val="19"/>
              </w:rPr>
              <w:t>5 / 5</w:t>
            </w:r>
            <w:r>
              <w:rPr>
                <w:b w:val="0"/>
                <w:i w:val="0"/>
                <w:sz w:val="19"/>
              </w:rPr>
              <w:t xml:space="preserve"> ✅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Criterios de aceptación (CA-01 a CA-15) verificados</w:t>
            </w:r>
          </w:p>
        </w:tc>
        <w:tc>
          <w:tcPr>
            <w:tcW w:type="dxa" w:w="4873"/>
          </w:tcPr>
          <w:p>
            <w:r>
              <w:rPr>
                <w:b/>
                <w:i w:val="0"/>
                <w:sz w:val="19"/>
              </w:rPr>
              <w:t>15 / 15</w:t>
            </w:r>
            <w:r>
              <w:rPr>
                <w:b w:val="0"/>
                <w:i w:val="0"/>
                <w:sz w:val="19"/>
              </w:rPr>
              <w:t xml:space="preserve"> ✅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Tareas completadas con su "Hecho cuando…"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b/>
                <w:i w:val="0"/>
                <w:sz w:val="19"/>
              </w:rPr>
              <w:t>26 / 26</w:t>
            </w:r>
            <w:r>
              <w:rPr>
                <w:b w:val="0"/>
                <w:i w:val="0"/>
                <w:sz w:val="19"/>
              </w:rPr>
              <w:t xml:space="preserve"> ✅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Principios de la Constitución</w:t>
            </w:r>
          </w:p>
        </w:tc>
        <w:tc>
          <w:tcPr>
            <w:tcW w:type="dxa" w:w="4873"/>
          </w:tcPr>
          <w:p>
            <w:r>
              <w:rPr>
                <w:b/>
                <w:i w:val="0"/>
                <w:sz w:val="19"/>
              </w:rPr>
              <w:t>7 / 7</w:t>
            </w:r>
            <w:r>
              <w:rPr>
                <w:b w:val="0"/>
                <w:i w:val="0"/>
                <w:sz w:val="19"/>
              </w:rPr>
              <w:t xml:space="preserve"> ✅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Puertas de revisión (G0 a G5)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b/>
                <w:i w:val="0"/>
                <w:sz w:val="19"/>
              </w:rPr>
              <w:t>6 / 6</w:t>
            </w:r>
            <w:r>
              <w:rPr>
                <w:b w:val="0"/>
                <w:i w:val="0"/>
                <w:sz w:val="19"/>
              </w:rPr>
              <w:t xml:space="preserve"> ✅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1F3A5F"/>
        </w:rPr>
        <w:t>2. Cobertura de código</w:t>
      </w:r>
    </w:p>
    <w:p>
      <w:r>
        <w:rPr>
          <w:rFonts w:ascii="Consolas" w:hAnsi="Consolas"/>
          <w:b w:val="0"/>
          <w:i w:val="0"/>
          <w:color w:val="B03060"/>
        </w:rPr>
        <w:t>npm run coverage</w:t>
      </w:r>
      <w:r>
        <w:rPr>
          <w:b w:val="0"/>
          <w:i w:val="0"/>
        </w:rPr>
        <w:t xml:space="preserve"> (Node.js 22.23.2; incluye </w:t>
      </w:r>
      <w:r>
        <w:rPr>
          <w:rFonts w:ascii="Consolas" w:hAnsi="Consolas"/>
          <w:b w:val="0"/>
          <w:i w:val="0"/>
          <w:color w:val="B03060"/>
        </w:rPr>
        <w:t>src/**</w:t>
      </w:r>
      <w:r>
        <w:rPr>
          <w:b w:val="0"/>
          <w:i w:val="0"/>
        </w:rPr>
        <w:t xml:space="preserve"> y excluye </w:t>
      </w:r>
      <w:r>
        <w:rPr>
          <w:rFonts w:ascii="Consolas" w:hAnsi="Consolas"/>
          <w:b w:val="0"/>
          <w:i w:val="0"/>
          <w:color w:val="B03060"/>
        </w:rPr>
        <w:t>src/server.js</w:t>
      </w:r>
      <w:r>
        <w:rPr>
          <w:b w:val="0"/>
          <w:i w:val="0"/>
        </w:rPr>
        <w:t>, que es solo el arranque):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</w:tcPr>
          <w:p>
            <w:r>
              <w:rPr>
                <w:rFonts w:ascii="Consolas" w:hAnsi="Consolas"/>
                <w:sz w:val="17"/>
              </w:rPr>
              <w:t># tests 36 | suites 8 | pass 36 | fail 0</w:t>
              <w:br/>
              <w:t># --------------------------------------------------------------------</w:t>
              <w:br/>
              <w:t># file                       | line % | branch % | funcs % | uncovered</w:t>
              <w:br/>
              <w:t># --------------------------------------------------------------------</w:t>
              <w:br/>
              <w:t>#  domain/task.js            | 100.00 |   100.00 |  100.00 |</w:t>
              <w:br/>
              <w:t>#  http/app.js               | 100.00 |   100.00 |  100.00 |</w:t>
              <w:br/>
              <w:t>#  repository/taskRepository | 100.00 |   100.00 |  100.00 |</w:t>
              <w:br/>
              <w:t>#  services/taskService.js   | 100.00 |   100.00 |  100.00 |</w:t>
              <w:br/>
              <w:t># --------------------------------------------------------------------</w:t>
              <w:br/>
              <w:t># all files                  | 100.00 |   100.00 |  100.00 |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Métrica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Umbral (Constitución III)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Obtenido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Líneas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≥ 90 %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100 %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Ramas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≥ 85 %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100 %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Funciones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≥ 90 %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100 %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</w:tbl>
    <w:p/>
    <w:p>
      <w:r>
        <w:rPr>
          <w:b/>
          <w:i w:val="0"/>
        </w:rPr>
        <w:t>Exclusión justificada: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B03060"/>
        </w:rPr>
        <w:t>src/server.js</w:t>
      </w:r>
      <w:r>
        <w:rPr>
          <w:b w:val="0"/>
          <w:i w:val="0"/>
        </w:rPr>
        <w:t xml:space="preserve"> (16 líneas, solo </w:t>
      </w:r>
      <w:r>
        <w:rPr>
          <w:rFonts w:ascii="Consolas" w:hAnsi="Consolas"/>
          <w:b w:val="0"/>
          <w:i w:val="0"/>
          <w:color w:val="B03060"/>
        </w:rPr>
        <w:t>listen()</w:t>
      </w:r>
      <w:r>
        <w:rPr>
          <w:b w:val="0"/>
          <w:i w:val="0"/>
        </w:rPr>
        <w:t>) se verificó con la validación manual (§5).</w:t>
      </w:r>
    </w:p>
    <w:p>
      <w:pPr>
        <w:pStyle w:val="Heading2"/>
      </w:pPr>
      <w:r>
        <w:rPr>
          <w:b w:val="0"/>
          <w:i w:val="0"/>
          <w:color w:val="1F3A5F"/>
        </w:rPr>
        <w:t>3. Trazabilidad requisito → diseño → tarea → código →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Req.</w:t>
            </w:r>
          </w:p>
        </w:tc>
        <w:tc>
          <w:tcPr>
            <w:tcW w:type="dxa" w:w="1624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Diseño</w:t>
            </w:r>
          </w:p>
        </w:tc>
        <w:tc>
          <w:tcPr>
            <w:tcW w:type="dxa" w:w="1624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Tareas</w:t>
            </w:r>
          </w:p>
        </w:tc>
        <w:tc>
          <w:tcPr>
            <w:tcW w:type="dxa" w:w="1624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Código</w:t>
            </w:r>
          </w:p>
        </w:tc>
        <w:tc>
          <w:tcPr>
            <w:tcW w:type="dxa" w:w="1624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Pruebas (nombre con el ID)</w:t>
            </w:r>
          </w:p>
        </w:tc>
        <w:tc>
          <w:tcPr>
            <w:tcW w:type="dxa" w:w="1624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FR-001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Modelo §5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T004, T005, T009, T011</w:t>
            </w:r>
          </w:p>
        </w:tc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validateTaskInput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isValidDate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 xml:space="preserve">7 pruebas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[FR-001]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FR-002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Modelo §5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T005, T009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createTask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[FR-002][FR-003] asigna id…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[FR-001][FR-002] US1…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FR-003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Modelo §5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T005</w:t>
            </w:r>
          </w:p>
        </w:tc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PRIORITIES</w:t>
            </w:r>
          </w:p>
        </w:tc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[FR-003] rechaza prioridad inválida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[FR-002][FR-003]…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FR-004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ADR-04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T007, T010, T011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ValidationError</w:t>
            </w:r>
            <w:r>
              <w:rPr>
                <w:b w:val="0"/>
                <w:i w:val="0"/>
                <w:sz w:val="19"/>
              </w:rPr>
              <w:t xml:space="preserve"> → 400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7 pruebas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[FR-004]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FR-005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ADR-07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T013, T014</w:t>
            </w:r>
          </w:p>
        </w:tc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list()</w:t>
            </w:r>
            <w:r>
              <w:rPr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PRIORITY_WEIGHT</w:t>
            </w:r>
          </w:p>
        </w:tc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[FR-005] US2: lista ordenada…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FR-006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§6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T013–T015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list(filters)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[FR-006] US2: filtra…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[FR-006][FR-004]…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[FR-006] 400 con filtro inválido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FR-007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ADR-03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T016, T018, T019</w:t>
            </w:r>
          </w:p>
        </w:tc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canTransition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changeStatus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 xml:space="preserve">4 pruebas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[FR-007]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FR-008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ADR-03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T016, T017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update()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4 pruebas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[FR-008]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FR-009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§6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T020, T021</w:t>
            </w:r>
          </w:p>
        </w:tc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remove()</w:t>
            </w:r>
          </w:p>
        </w:tc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[FR-009][FR-011] US4…</w:t>
            </w:r>
            <w:r>
              <w:rPr>
                <w:b w:val="0"/>
                <w:i w:val="0"/>
                <w:sz w:val="19"/>
              </w:rPr>
              <w:t xml:space="preserve"> + flujo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[US1-US4]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FR-010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ADR-02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T022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persist()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load()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[FR-010] persiste y recarga…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[FR-010] tolera un archivo vacío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FR-011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ADR-04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T014, T020</w:t>
            </w:r>
          </w:p>
        </w:tc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NotFoundError</w:t>
            </w:r>
            <w:r>
              <w:rPr>
                <w:b w:val="0"/>
                <w:i w:val="0"/>
                <w:sz w:val="19"/>
              </w:rPr>
              <w:t xml:space="preserve"> → 404</w:t>
            </w:r>
          </w:p>
        </w:tc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[FR-009][FR-011]…</w:t>
            </w:r>
            <w:r>
              <w:rPr>
                <w:b w:val="0"/>
                <w:i w:val="0"/>
                <w:sz w:val="19"/>
              </w:rPr>
              <w:t xml:space="preserve"> + flujo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[US1-US4]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FR-012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§6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T007, T023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enrutador → 404/405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[FR-012] 404 en rutas desconocidas y 405…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NFR-001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§6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T007</w:t>
            </w:r>
          </w:p>
        </w:tc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send()</w:t>
            </w:r>
            <w:r>
              <w:rPr>
                <w:b w:val="0"/>
                <w:i w:val="0"/>
                <w:sz w:val="19"/>
              </w:rPr>
              <w:t xml:space="preserve"> UTF-8</w:t>
            </w:r>
          </w:p>
        </w:tc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[NFR-001][NFR-004] GET /health…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NFR-002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ADR-07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T024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filtro/orden en memoria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[NFR-002] lista 1 000 tareas…</w:t>
            </w:r>
            <w:r>
              <w:rPr>
                <w:b w:val="0"/>
                <w:i w:val="0"/>
                <w:sz w:val="19"/>
              </w:rPr>
              <w:t xml:space="preserve"> → p95 &lt; 200 ms ✅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NFR-003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§8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T025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npm run coverage</w:t>
            </w:r>
            <w:r>
              <w:rPr>
                <w:b w:val="0"/>
                <w:i w:val="0"/>
                <w:sz w:val="19"/>
              </w:rPr>
              <w:t xml:space="preserve"> → 100 %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NFR-004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ADR-06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T007, T023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readJson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errorResponse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[NFR-004] 413…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[NFR-004] 500…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[NFR-001][NFR-004]…</w:t>
            </w:r>
          </w:p>
        </w:tc>
        <w:tc>
          <w:tcPr>
            <w:tcW w:type="dxa" w:w="1624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NFR-005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ADR-01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T002</w:t>
            </w:r>
          </w:p>
        </w:tc>
        <w:tc>
          <w:tcPr>
            <w:tcW w:type="dxa" w:w="1624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package.json</w:t>
            </w:r>
            <w:r>
              <w:rPr>
                <w:b w:val="0"/>
                <w:i w:val="0"/>
                <w:sz w:val="19"/>
              </w:rPr>
              <w:t xml:space="preserve"> sin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dependencies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inspección</w:t>
            </w:r>
          </w:p>
        </w:tc>
        <w:tc>
          <w:tcPr>
            <w:tcW w:type="dxa" w:w="1624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1F3A5F"/>
        </w:rPr>
        <w:t>Criterios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CA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Prueba que lo verifica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✔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CA-01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[FR-001][FR-002] US1: crea y recupera una tarea</w:t>
            </w:r>
            <w:r>
              <w:rPr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[US1-US4] flujo completo</w:t>
            </w:r>
            <w:r>
              <w:rPr>
                <w:b w:val="0"/>
                <w:i w:val="0"/>
                <w:sz w:val="19"/>
              </w:rPr>
              <w:t xml:space="preserve"> (201)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CA-02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[FR-002][FR-003] asigna id, valores por defecto y timestamps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CA-03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[FR-001] exige title…</w:t>
            </w:r>
            <w:r>
              <w:rPr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[FR-001] rechaza fechas inexistentes…</w:t>
            </w:r>
            <w:r>
              <w:rPr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[FR-004] 400 con detalles…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CA-04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[FR-004] 400 con JSON mal formado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CA-05, CA-06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[FR-005] US2: lista ordenada por fecha de entrega y prioridad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CA-07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[FR-006] US2: filtra por estado, prioridad y materia…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CA-08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[FR-006] 400 con filtro inválido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CA-09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[FR-008] US3: edita campos y actualiza updatedAt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CA-10, CA-11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[FR-007] US3: cambia estado respetando transiciones</w:t>
            </w:r>
            <w:r>
              <w:rPr>
                <w:b w:val="0"/>
                <w:i w:val="0"/>
                <w:sz w:val="19"/>
              </w:rPr>
              <w:t xml:space="preserve"> ·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[FR-007] 409…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CA-12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[FR-008] no permite fijar status al crear/editar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CA-13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[US1-US4] flujo completo</w:t>
            </w:r>
            <w:r>
              <w:rPr>
                <w:b w:val="0"/>
                <w:i w:val="0"/>
                <w:sz w:val="19"/>
              </w:rPr>
              <w:t xml:space="preserve"> (204) ·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[FR-009][FR-011] US4…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CA-14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[FR-009][FR-011] US4: elimina tarea y luego no existe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CA-15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[FR-010] persiste y recarga tareas desde disco</w:t>
            </w:r>
            <w:r>
              <w:rPr>
                <w:b w:val="0"/>
                <w:i w:val="0"/>
                <w:sz w:val="19"/>
              </w:rPr>
              <w:t xml:space="preserve"> + validación manual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1F3A5F"/>
        </w:rPr>
        <w:t>4. Auditoría contra la Constitución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Principio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Verificación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I. La spec es la fuente de verdad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 xml:space="preserve">El </w:t>
            </w:r>
            <w:r>
              <w:rPr>
                <w:b w:val="0"/>
                <w:i/>
                <w:sz w:val="19"/>
              </w:rPr>
              <w:t>spec drift</w:t>
            </w:r>
            <w:r>
              <w:rPr>
                <w:b w:val="0"/>
                <w:i w:val="0"/>
                <w:sz w:val="19"/>
              </w:rPr>
              <w:t xml:space="preserve"> detectado (404/405) se resolvió </w:t>
            </w:r>
            <w:r>
              <w:rPr>
                <w:b/>
                <w:i w:val="0"/>
                <w:sz w:val="19"/>
              </w:rPr>
              <w:t>editando la spec</w:t>
            </w:r>
            <w:r>
              <w:rPr>
                <w:b w:val="0"/>
                <w:i w:val="0"/>
                <w:sz w:val="19"/>
              </w:rPr>
              <w:t xml:space="preserve"> (FR-012)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II. Arquitectura por capas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domain</w:t>
            </w:r>
            <w:r>
              <w:rPr>
                <w:b w:val="0"/>
                <w:i w:val="0"/>
                <w:sz w:val="19"/>
              </w:rPr>
              <w:t xml:space="preserve"> solo importa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node:crypto</w:t>
            </w:r>
            <w:r>
              <w:rPr>
                <w:b w:val="0"/>
                <w:i w:val="0"/>
                <w:sz w:val="19"/>
              </w:rPr>
              <w:t>; no hay dependencias inversas; errores tipados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III. Requisitos verificables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36/36 pruebas llevan el ID en el nombre; cobertura del 100 %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IV. Incrementos pequeños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26 tareas atómicas con "Hecho cuando…" </w:t>
            </w:r>
            <w:r>
              <w:rPr>
                <w:b w:val="0"/>
                <w:i/>
                <w:sz w:val="19"/>
              </w:rPr>
              <w:t>(ver la observación AUD-05)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 con observación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V. Seguridad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 xml:space="preserve">Validación, 10 KB → 413, 500 genérico,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nosniff</w:t>
            </w:r>
            <w:r>
              <w:rPr>
                <w:b w:val="0"/>
                <w:i w:val="0"/>
                <w:sz w:val="19"/>
              </w:rPr>
              <w:t>, configuración por variables de entorno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VI. Contratos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7/7 rutas coinciden con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plan.md</w:t>
            </w:r>
            <w:r>
              <w:rPr>
                <w:b w:val="0"/>
                <w:i w:val="0"/>
                <w:sz w:val="19"/>
              </w:rPr>
              <w:t xml:space="preserve"> §6; formato de error uniforme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VII. Todo versionado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Specs y código en el mismo repositorio y en el mismo commit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✅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1F3A5F"/>
        </w:rPr>
        <w:t>5. Validación más allá de las pruebas</w:t>
      </w:r>
    </w:p>
    <w:p>
      <w:r>
        <w:rPr>
          <w:b w:val="0"/>
          <w:i w:val="0"/>
        </w:rPr>
        <w:t xml:space="preserve">La guía advierte sobre la </w:t>
      </w:r>
      <w:r>
        <w:rPr>
          <w:b/>
          <w:i w:val="0"/>
        </w:rPr>
        <w:t>falsa sensación de verificación</w:t>
      </w:r>
      <w:r>
        <w:rPr>
          <w:b w:val="0"/>
          <w:i w:val="0"/>
        </w:rPr>
        <w:t xml:space="preserve"> ("pasan los tests, así que funciona"). Por eso también se validó a mano: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Validación</w:t>
            </w:r>
          </w:p>
        </w:tc>
        <w:tc>
          <w:tcPr>
            <w:tcW w:type="dxa" w:w="4873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Arranque real (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npm start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✅ "TaskFlow API escuchando…"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Flujo real con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curl</w:t>
            </w:r>
            <w:r>
              <w:rPr>
                <w:b w:val="0"/>
                <w:i w:val="0"/>
                <w:sz w:val="19"/>
              </w:rPr>
              <w:t>: registrar una tarea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✅ 201 con UUID,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pendiente</w:t>
            </w:r>
          </w:p>
        </w:tc>
      </w:tr>
      <w:tr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 xml:space="preserve">Persistencia real en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data/tasks.json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</w:rPr>
              <w:t>✅ La tarea está en el archivo</w:t>
            </w:r>
          </w:p>
        </w:tc>
      </w:tr>
      <w:tr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Medición de rendimiento con 1 000 tareas (50 peticiones)</w:t>
            </w:r>
          </w:p>
        </w:tc>
        <w:tc>
          <w:tcPr>
            <w:tcW w:type="dxa" w:w="4873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 p50 = 15,1 ms · p95 = 17,9 ms · máx = 51,0 ms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1F3A5F"/>
        </w:rPr>
        <w:t>6. Revisión de antipatrones (guía SDD §12)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Antipatrón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¿Presente?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Deriva de la spec (</w:t>
            </w:r>
            <w:r>
              <w:rPr>
                <w:b w:val="0"/>
                <w:i/>
                <w:sz w:val="19"/>
              </w:rPr>
              <w:t>spec drift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 xml:space="preserve">⚠️ Se detectó y se </w:t>
            </w:r>
            <w:r>
              <w:rPr>
                <w:b/>
                <w:i w:val="0"/>
                <w:sz w:val="19"/>
              </w:rPr>
              <w:t>corrigió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Faltaba FR-012 en la spec; se agregó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Sobre-especificación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❌ No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Las specs son proporcionales a 4 historias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Spec que es código disfrazado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❌ No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spec.md</w:t>
            </w:r>
            <w:r>
              <w:rPr>
                <w:b w:val="0"/>
                <w:i w:val="0"/>
                <w:sz w:val="19"/>
              </w:rPr>
              <w:t xml:space="preserve"> no menciona tecnología; el </w:t>
            </w:r>
            <w:r>
              <w:rPr>
                <w:b w:val="0"/>
                <w:i/>
                <w:sz w:val="19"/>
              </w:rPr>
              <w:t>cómo</w:t>
            </w:r>
            <w:r>
              <w:rPr>
                <w:b w:val="0"/>
                <w:i w:val="0"/>
                <w:sz w:val="19"/>
              </w:rPr>
              <w:t xml:space="preserve"> está en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plan.md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Aprobar sin leer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❌ No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Cada puerta tiene su checklist completada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Falsa sensación de verificación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❌ No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Validación manual en §5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Waterfall encubierto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❌ No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Solo se especificó la funcionalidad 001; los usuarios van en la iteración 2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Specs huérfanas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❌ No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Una sola carpeta de spec, vigente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1F3A5F"/>
        </w:rPr>
        <w:t>7. Hallazgos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Severidad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Descripción</w:t>
            </w:r>
          </w:p>
        </w:tc>
        <w:tc>
          <w:tcPr>
            <w:tcW w:type="dxa" w:w="2436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AUD-01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🔴 Mayor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Cuerpos &gt; 10 KB cortaban la conexión en lugar de responder 413.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✅ Corregido (ADR-06)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AUD-02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🟡 Menor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Rama muerta en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update()</w:t>
            </w:r>
            <w:r>
              <w:rPr>
                <w:b w:val="0"/>
                <w:i w:val="0"/>
                <w:sz w:val="19"/>
              </w:rPr>
              <w:t xml:space="preserve"> (cobertura de ramas de 97,37 %).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 Corregido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AUD-03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🟡 Menor</w:t>
            </w:r>
          </w:p>
        </w:tc>
        <w:tc>
          <w:tcPr>
            <w:tcW w:type="dxa" w:w="2436"/>
          </w:tcPr>
          <w:p>
            <w:r>
              <w:rPr>
                <w:b w:val="0"/>
                <w:i/>
                <w:sz w:val="19"/>
              </w:rPr>
              <w:t>Spec drift</w:t>
            </w:r>
            <w:r>
              <w:rPr>
                <w:b w:val="0"/>
                <w:i w:val="0"/>
                <w:sz w:val="19"/>
              </w:rPr>
              <w:t>: 404/405 implementados sin requisito.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✅ Corregido (FR-012)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AUD-04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🟡 Menor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NFR-002 solo se verificaba a mano.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✅ Corregido (prueba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[NFR-002]</w:t>
            </w:r>
            <w:r>
              <w:rPr>
                <w:b w:val="0"/>
                <w:i w:val="0"/>
                <w:sz w:val="19"/>
              </w:rPr>
              <w:t>, T024)</w:t>
            </w:r>
          </w:p>
        </w:tc>
      </w:tr>
      <w:tr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AUD-05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🟢 Observación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El código se subió en un solo commit, no en uno por tarea.</w:t>
            </w:r>
          </w:p>
        </w:tc>
        <w:tc>
          <w:tcPr>
            <w:tcW w:type="dxa" w:w="2436"/>
          </w:tcPr>
          <w:p>
            <w:r>
              <w:rPr>
                <w:b w:val="0"/>
                <w:i w:val="0"/>
                <w:sz w:val="19"/>
              </w:rPr>
              <w:t>Aceptado; se exige en la iteración 2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AUD-06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🟢 Observación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El JSON no soporta varios procesos escribiendo a la vez (riesgo de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plan.md</w:t>
            </w:r>
            <w:r>
              <w:rPr>
                <w:b w:val="0"/>
                <w:i w:val="0"/>
                <w:sz w:val="19"/>
              </w:rPr>
              <w:t xml:space="preserve"> §9).</w:t>
            </w:r>
          </w:p>
        </w:tc>
        <w:tc>
          <w:tcPr>
            <w:tcW w:type="dxa" w:w="2436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Aceptado; BD en la iteración 2</w:t>
            </w:r>
          </w:p>
        </w:tc>
      </w:tr>
    </w:tbl>
    <w:p/>
    <w:p>
      <w:r>
        <w:rPr>
          <w:b/>
          <w:i w:val="0"/>
        </w:rPr>
        <w:t>Hallazgos críticos o mayores abiertos: 0</w:t>
      </w:r>
    </w:p>
    <w:p>
      <w:pPr>
        <w:pStyle w:val="Heading2"/>
      </w:pPr>
      <w:r>
        <w:rPr>
          <w:b w:val="0"/>
          <w:i w:val="0"/>
          <w:color w:val="1F3A5F"/>
        </w:rPr>
        <w:t>8. Historial del ciclo de convergencia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Ciclo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Resultado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Motivo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❌ No converge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Prueba 413 en rojo; cobertura de ramas &lt; 100 %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✅ Converge (contra Spec Kit)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35/35 pruebas, 100 % de cobertura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❌ No converge (contra la guía SDD)</w:t>
            </w:r>
          </w:p>
        </w:tc>
        <w:tc>
          <w:tcPr>
            <w:tcW w:type="dxa" w:w="3249"/>
          </w:tcPr>
          <w:p>
            <w:r>
              <w:rPr>
                <w:b w:val="0"/>
                <w:i/>
                <w:sz w:val="19"/>
              </w:rPr>
              <w:t>Spec drift</w:t>
            </w:r>
            <w:r>
              <w:rPr>
                <w:b w:val="0"/>
                <w:i w:val="0"/>
                <w:sz w:val="19"/>
              </w:rPr>
              <w:t xml:space="preserve"> (FR-012), NFR-002 no automatizado y pruebas sin ID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 xml:space="preserve">✅ </w:t>
            </w:r>
            <w:r>
              <w:rPr>
                <w:b/>
                <w:i w:val="0"/>
                <w:sz w:val="19"/>
              </w:rPr>
              <w:t>CONVERGED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36/36 pruebas con ID, 100 % de cobertura, spec actualizada y puertas completas</w:t>
            </w:r>
          </w:p>
        </w:tc>
      </w:tr>
    </w:tbl>
    <w:p/>
    <w:p>
      <w:pPr>
        <w:pStyle w:val="Heading2"/>
      </w:pPr>
      <w:r>
        <w:rPr>
          <w:b w:val="0"/>
          <w:i w:val="0"/>
          <w:color w:val="1F3A5F"/>
        </w:rPr>
        <w:t>✅ Puerta G5 — Checklist antes de cerrar la funcionalidad</w:t>
      </w:r>
    </w:p>
    <w:p>
      <w:pPr>
        <w:pStyle w:val="ListBullet"/>
      </w:pPr>
      <w:r>
        <w:rPr>
          <w:b w:val="0"/>
          <w:i w:val="0"/>
        </w:rPr>
        <w:t>☑ Todos los criterios de aceptación se verificaron (§3: 15/15).</w:t>
      </w:r>
    </w:p>
    <w:p>
      <w:pPr>
        <w:pStyle w:val="ListBullet"/>
      </w:pPr>
      <w:r>
        <w:rPr>
          <w:b w:val="0"/>
          <w:i w:val="0"/>
        </w:rPr>
        <w:t>☑ La spec refleja el comportamiento final (FR-012 agregado y ADR-06 documentado).</w:t>
      </w:r>
    </w:p>
    <w:p>
      <w:pPr>
        <w:pStyle w:val="ListBullet"/>
      </w:pPr>
      <w:r>
        <w:rPr>
          <w:b w:val="0"/>
          <w:i w:val="0"/>
        </w:rPr>
        <w:t>☑ Las pruebas tienen nombres trazados a requisitos (36/36).</w:t>
      </w:r>
    </w:p>
    <w:p>
      <w:pPr>
        <w:pStyle w:val="ListBullet"/>
      </w:pPr>
      <w:r>
        <w:rPr>
          <w:b w:val="0"/>
          <w:i w:val="0"/>
        </w:rPr>
        <w:t>☑ La spec y el código se revisaron en el mismo commit.</w:t>
      </w:r>
    </w:p>
    <w:p>
      <w:r>
        <w:rPr>
          <w:b/>
          <w:i w:val="0"/>
        </w:rPr>
        <w:t>Aprobado por:</w:t>
      </w:r>
      <w:r>
        <w:rPr>
          <w:b w:val="0"/>
          <w:i w:val="0"/>
        </w:rPr>
        <w:t xml:space="preserve"> Product Owner + QA, 2026-10-22.</w:t>
      </w:r>
    </w:p>
    <w:p>
      <w:pPr>
        <w:pStyle w:val="Heading2"/>
      </w:pPr>
      <w:r>
        <w:rPr>
          <w:b w:val="0"/>
          <w:i w:val="0"/>
          <w:color w:val="1F3A5F"/>
        </w:rPr>
        <w:t>9. Recomendaciones para la iteración 2</w:t>
      </w:r>
    </w:p>
    <w:p>
      <w:pPr>
        <w:pStyle w:val="ListNumber"/>
      </w:pPr>
      <w:r>
        <w:rPr>
          <w:b w:val="0"/>
          <w:i w:val="0"/>
        </w:rPr>
        <w:t xml:space="preserve">Nueva spec </w:t>
      </w:r>
      <w:r>
        <w:rPr>
          <w:rFonts w:ascii="Consolas" w:hAnsi="Consolas"/>
          <w:b w:val="0"/>
          <w:i w:val="0"/>
          <w:color w:val="B03060"/>
        </w:rPr>
        <w:t>002-usuarios</w:t>
      </w:r>
      <w:r>
        <w:rPr>
          <w:b w:val="0"/>
          <w:i w:val="0"/>
        </w:rPr>
        <w:t xml:space="preserve"> (autenticación y multiusuario).</w:t>
      </w:r>
    </w:p>
    <w:p>
      <w:pPr>
        <w:pStyle w:val="ListNumber"/>
      </w:pPr>
      <w:r>
        <w:rPr>
          <w:b w:val="0"/>
          <w:i w:val="0"/>
        </w:rPr>
        <w:t xml:space="preserve">Migrar a SQLite o PostgreSQL, justificándolo en </w:t>
      </w:r>
      <w:r>
        <w:rPr>
          <w:b w:val="0"/>
          <w:i/>
        </w:rPr>
        <w:t>Complexity Tracking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Un commit por tarea, con su ID.</w:t>
      </w:r>
    </w:p>
    <w:p>
      <w:pPr>
        <w:pStyle w:val="ListNumber"/>
      </w:pPr>
      <w:r>
        <w:rPr>
          <w:b w:val="0"/>
          <w:i w:val="0"/>
        </w:rPr>
        <w:t xml:space="preserve">Pipeline de CI (GitHub Actions) que ejecute </w:t>
      </w:r>
      <w:r>
        <w:rPr>
          <w:rFonts w:ascii="Consolas" w:hAnsi="Consolas"/>
          <w:b w:val="0"/>
          <w:i w:val="0"/>
          <w:color w:val="B03060"/>
        </w:rPr>
        <w:t>npm run coverage</w:t>
      </w:r>
      <w:r>
        <w:rPr>
          <w:b w:val="0"/>
          <w:i w:val="0"/>
        </w:rPr>
        <w:t xml:space="preserve"> y falle si baja del umbral.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