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  <w:color w:val="1F3A5F"/>
        </w:rPr>
        <w:t>Constitución del Proyecto TaskFlow</w:t>
      </w:r>
    </w:p>
    <w:p>
      <w:pPr>
        <w:ind w:left="340"/>
      </w:pPr>
      <w:r>
        <w:rPr>
          <w:b/>
          <w:i/>
          <w:color w:val="555F6D"/>
        </w:rPr>
        <w:t>Comando SDD: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/speckit-constitution</w:t>
      </w:r>
    </w:p>
    <w:p>
      <w:pPr>
        <w:ind w:left="340"/>
      </w:pPr>
      <w:r>
        <w:rPr>
          <w:b/>
          <w:i/>
          <w:color w:val="555F6D"/>
        </w:rPr>
        <w:t>Artefacto: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.specify/memory/constitution.md</w:t>
      </w:r>
    </w:p>
    <w:p>
      <w:pPr>
        <w:ind w:left="340"/>
      </w:pPr>
      <w:r>
        <w:rPr>
          <w:b/>
          <w:i/>
          <w:color w:val="555F6D"/>
        </w:rPr>
        <w:t>Versión:</w:t>
      </w:r>
      <w:r>
        <w:rPr>
          <w:b w:val="0"/>
          <w:i/>
          <w:color w:val="555F6D"/>
        </w:rPr>
        <w:t xml:space="preserve"> 1.0.0 | </w:t>
      </w:r>
      <w:r>
        <w:rPr>
          <w:b/>
          <w:i/>
          <w:color w:val="555F6D"/>
        </w:rPr>
        <w:t>Ratificada:</w:t>
      </w:r>
      <w:r>
        <w:rPr>
          <w:b w:val="0"/>
          <w:i/>
          <w:color w:val="555F6D"/>
        </w:rPr>
        <w:t xml:space="preserve"> 2026-10-21 | </w:t>
      </w:r>
      <w:r>
        <w:rPr>
          <w:b/>
          <w:i/>
          <w:color w:val="555F6D"/>
        </w:rPr>
        <w:t>Última enmienda:</w:t>
      </w:r>
      <w:r>
        <w:rPr>
          <w:b w:val="0"/>
          <w:i/>
          <w:color w:val="555F6D"/>
        </w:rPr>
        <w:t xml:space="preserve"> 2026-10-21</w:t>
      </w:r>
    </w:p>
    <w:p>
      <w:pPr>
        <w:pStyle w:val="Heading2"/>
      </w:pPr>
      <w:r>
        <w:rPr>
          <w:b w:val="0"/>
          <w:i w:val="0"/>
          <w:color w:val="1F3A5F"/>
        </w:rPr>
        <w:t>Propósito</w:t>
      </w:r>
    </w:p>
    <w:p>
      <w:r>
        <w:rPr>
          <w:b w:val="0"/>
          <w:i w:val="0"/>
        </w:rPr>
        <w:t xml:space="preserve">TaskFlow es una API REST para que estudiantes universitarios registren y den seguimiento a sus tareas académicas (entregas, materias, prioridades y estados). Esta constitución reúne las reglas globales e inviolables que el agente de IA y el equipo deben cumplir en </w:t>
      </w:r>
      <w:r>
        <w:rPr>
          <w:b/>
          <w:i w:val="0"/>
        </w:rPr>
        <w:t>cada</w:t>
      </w:r>
      <w:r>
        <w:rPr>
          <w:b w:val="0"/>
          <w:i w:val="0"/>
        </w:rPr>
        <w:t xml:space="preserve"> fase del flujo SDD: especificar, planificar, generar tareas, implementar y converger. Se define una sola vez por proyecto y solo se cambia mediante el proceso de enmienda descrito al final.</w:t>
      </w:r>
    </w:p>
    <w:p>
      <w:pPr>
        <w:pStyle w:val="Heading2"/>
      </w:pPr>
      <w:r>
        <w:rPr>
          <w:b w:val="0"/>
          <w:i w:val="0"/>
          <w:color w:val="1F3A5F"/>
        </w:rPr>
        <w:t>Principios fundamentales</w:t>
      </w:r>
    </w:p>
    <w:p>
      <w:pPr>
        <w:pStyle w:val="Heading3"/>
      </w:pPr>
      <w:r>
        <w:rPr>
          <w:b w:val="0"/>
          <w:i w:val="0"/>
          <w:color w:val="1F3A5F"/>
        </w:rPr>
        <w:t>I. Especificación antes que código (NO NEGOCIABLE)</w:t>
      </w:r>
    </w:p>
    <w:p>
      <w:pPr>
        <w:pStyle w:val="ListBullet"/>
      </w:pPr>
      <w:r>
        <w:rPr>
          <w:b w:val="0"/>
          <w:i w:val="0"/>
        </w:rPr>
        <w:t>No se escribe código de producción sin una especificación (</w:t>
      </w:r>
      <w:r>
        <w:rPr>
          <w:rFonts w:ascii="Consolas" w:hAnsi="Consolas"/>
          <w:b w:val="0"/>
          <w:i w:val="0"/>
          <w:color w:val="B03060"/>
        </w:rPr>
        <w:t>spec.md</w:t>
      </w:r>
      <w:r>
        <w:rPr>
          <w:b w:val="0"/>
          <w:i w:val="0"/>
        </w:rPr>
        <w:t>) aprobada, un plan técnico (</w:t>
      </w:r>
      <w:r>
        <w:rPr>
          <w:rFonts w:ascii="Consolas" w:hAnsi="Consolas"/>
          <w:b w:val="0"/>
          <w:i w:val="0"/>
          <w:color w:val="B03060"/>
        </w:rPr>
        <w:t>plan.md</w:t>
      </w:r>
      <w:r>
        <w:rPr>
          <w:b w:val="0"/>
          <w:i w:val="0"/>
        </w:rPr>
        <w:t>) y una lista de tareas (</w:t>
      </w:r>
      <w:r>
        <w:rPr>
          <w:rFonts w:ascii="Consolas" w:hAnsi="Consolas"/>
          <w:b w:val="0"/>
          <w:i w:val="0"/>
          <w:color w:val="B03060"/>
        </w:rPr>
        <w:t>tasks.md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>Todo requisito implementado debe trazarse a un identificador de la especificación (</w:t>
      </w:r>
      <w:r>
        <w:rPr>
          <w:rFonts w:ascii="Consolas" w:hAnsi="Consolas"/>
          <w:b w:val="0"/>
          <w:i w:val="0"/>
          <w:color w:val="B03060"/>
        </w:rPr>
        <w:t>US-x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FR-xxx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>Si surge una ambigüedad durante la implementación, se detiene la tarea, se actualiza la especificación y luego se continúa.</w:t>
      </w:r>
    </w:p>
    <w:p>
      <w:pPr>
        <w:pStyle w:val="Heading3"/>
      </w:pPr>
      <w:r>
        <w:rPr>
          <w:b w:val="0"/>
          <w:i w:val="0"/>
          <w:color w:val="1F3A5F"/>
        </w:rPr>
        <w:t>II. Arquitectura limpia por capas</w:t>
      </w:r>
    </w:p>
    <w:p>
      <w:pPr>
        <w:pStyle w:val="ListBullet"/>
      </w:pPr>
      <w:r>
        <w:rPr>
          <w:b w:val="0"/>
          <w:i w:val="0"/>
        </w:rPr>
        <w:t>El sistema se organiza en cuatro capas con dependencias en un solo sentido:</w:t>
      </w:r>
    </w:p>
    <w:p>
      <w:r>
        <w:rPr>
          <w:rFonts w:ascii="Consolas" w:hAnsi="Consolas"/>
          <w:b w:val="0"/>
          <w:i w:val="0"/>
          <w:color w:val="B03060"/>
        </w:rPr>
        <w:t>http → services → domain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services → repository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La capa </w:t>
      </w:r>
      <w:r>
        <w:rPr>
          <w:b/>
          <w:i w:val="0"/>
        </w:rPr>
        <w:t>domain</w:t>
      </w:r>
      <w:r>
        <w:rPr>
          <w:b w:val="0"/>
          <w:i w:val="0"/>
        </w:rPr>
        <w:t xml:space="preserve"> no depende de Node.js HTTP ni del sistema de archivos: contiene reglas de negocio puras.</w:t>
      </w:r>
    </w:p>
    <w:p>
      <w:pPr>
        <w:pStyle w:val="ListBullet"/>
      </w:pPr>
      <w:r>
        <w:rPr>
          <w:b w:val="0"/>
          <w:i w:val="0"/>
        </w:rPr>
        <w:t>Cada módulo tiene una única responsabilidad (SRP). Las funciones no superan ~40 líneas.</w:t>
      </w:r>
    </w:p>
    <w:p>
      <w:pPr>
        <w:pStyle w:val="ListBullet"/>
      </w:pPr>
      <w:r>
        <w:rPr>
          <w:b w:val="0"/>
          <w:i w:val="0"/>
        </w:rPr>
        <w:t>Los nombres de dominio se escriben en el idioma del negocio (español) cuando representan valores visibles para el usuario (</w:t>
      </w:r>
      <w:r>
        <w:rPr>
          <w:rFonts w:ascii="Consolas" w:hAnsi="Consolas"/>
          <w:b w:val="0"/>
          <w:i w:val="0"/>
          <w:color w:val="B03060"/>
        </w:rPr>
        <w:t>pendiente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alta</w:t>
      </w:r>
      <w:r>
        <w:rPr>
          <w:b w:val="0"/>
          <w:i w:val="0"/>
        </w:rPr>
        <w:t xml:space="preserve">); los identificadores de código siguen la convención inglesa </w:t>
      </w:r>
      <w:r>
        <w:rPr>
          <w:rFonts w:ascii="Consolas" w:hAnsi="Consolas"/>
          <w:b w:val="0"/>
          <w:i w:val="0"/>
          <w:color w:val="B03060"/>
        </w:rPr>
        <w:t>camelCase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  <w:color w:val="1F3A5F"/>
        </w:rPr>
        <w:t>III. Pruebas primero y cobertura mínima (NO NEGOCIABLE)</w:t>
      </w:r>
    </w:p>
    <w:p>
      <w:pPr>
        <w:pStyle w:val="ListBullet"/>
      </w:pPr>
      <w:r>
        <w:rPr>
          <w:b w:val="0"/>
          <w:i w:val="0"/>
        </w:rPr>
        <w:t xml:space="preserve">Cada historia de usuario tiene pruebas automatizadas de </w:t>
      </w:r>
      <w:r>
        <w:rPr>
          <w:b/>
          <w:i w:val="0"/>
        </w:rPr>
        <w:t>dominio</w:t>
      </w:r>
      <w:r>
        <w:rPr>
          <w:b w:val="0"/>
          <w:i w:val="0"/>
        </w:rPr>
        <w:t xml:space="preserve">, </w:t>
      </w:r>
      <w:r>
        <w:rPr>
          <w:b/>
          <w:i w:val="0"/>
        </w:rPr>
        <w:t>servicio</w:t>
      </w:r>
      <w:r>
        <w:rPr>
          <w:b w:val="0"/>
          <w:i w:val="0"/>
        </w:rPr>
        <w:t xml:space="preserve"> y </w:t>
      </w:r>
      <w:r>
        <w:rPr>
          <w:b/>
          <w:i w:val="0"/>
        </w:rPr>
        <w:t>API (integración)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Se sigue el ciclo Rojo → Verde → Refactor: la prueba se escribe antes o junto con el código que verifica.</w:t>
      </w:r>
    </w:p>
    <w:p>
      <w:pPr>
        <w:pStyle w:val="ListBullet"/>
      </w:pPr>
      <w:r>
        <w:rPr>
          <w:b w:val="0"/>
          <w:i w:val="0"/>
        </w:rPr>
        <w:t xml:space="preserve">Umbral mínimo de cobertura sobre </w:t>
      </w:r>
      <w:r>
        <w:rPr>
          <w:rFonts w:ascii="Consolas" w:hAnsi="Consolas"/>
          <w:b w:val="0"/>
          <w:i w:val="0"/>
          <w:color w:val="B03060"/>
        </w:rPr>
        <w:t>src/</w:t>
      </w:r>
      <w:r>
        <w:rPr>
          <w:b w:val="0"/>
          <w:i w:val="0"/>
        </w:rPr>
        <w:t xml:space="preserve"> (sin contar el arranque </w:t>
      </w:r>
      <w:r>
        <w:rPr>
          <w:rFonts w:ascii="Consolas" w:hAnsi="Consolas"/>
          <w:b w:val="0"/>
          <w:i w:val="0"/>
          <w:color w:val="B03060"/>
        </w:rPr>
        <w:t>server.js</w:t>
      </w:r>
      <w:r>
        <w:rPr>
          <w:b w:val="0"/>
          <w:i w:val="0"/>
        </w:rPr>
        <w:t>):</w:t>
      </w:r>
    </w:p>
    <w:p>
      <w:pPr>
        <w:pStyle w:val="ListBullet2"/>
      </w:pPr>
      <w:r>
        <w:rPr>
          <w:b/>
          <w:i w:val="0"/>
        </w:rPr>
        <w:t>Líneas ≥ 90 %</w:t>
      </w:r>
    </w:p>
    <w:p>
      <w:pPr>
        <w:pStyle w:val="ListBullet2"/>
      </w:pPr>
      <w:r>
        <w:rPr>
          <w:b/>
          <w:i w:val="0"/>
        </w:rPr>
        <w:t>Ramas ≥ 85 %</w:t>
      </w:r>
    </w:p>
    <w:p>
      <w:pPr>
        <w:pStyle w:val="ListBullet2"/>
      </w:pPr>
      <w:r>
        <w:rPr>
          <w:b/>
          <w:i w:val="0"/>
        </w:rPr>
        <w:t>Funciones ≥ 90 %</w:t>
      </w:r>
    </w:p>
    <w:p>
      <w:pPr>
        <w:pStyle w:val="ListBullet"/>
      </w:pPr>
      <w:r>
        <w:rPr>
          <w:b w:val="0"/>
          <w:i w:val="0"/>
        </w:rPr>
        <w:t xml:space="preserve">Una iteración no puede declararse </w:t>
      </w:r>
      <w:r>
        <w:rPr>
          <w:b w:val="0"/>
          <w:i/>
        </w:rPr>
        <w:t>Converged</w:t>
      </w:r>
      <w:r>
        <w:rPr>
          <w:b w:val="0"/>
          <w:i w:val="0"/>
        </w:rPr>
        <w:t xml:space="preserve"> si alguna prueba falla o si la cobertura baja de estos umbrales.</w:t>
      </w:r>
    </w:p>
    <w:p>
      <w:pPr>
        <w:pStyle w:val="Heading3"/>
      </w:pPr>
      <w:r>
        <w:rPr>
          <w:b w:val="0"/>
          <w:i w:val="0"/>
          <w:color w:val="1F3A5F"/>
        </w:rPr>
        <w:t>IV. Simplicidad y mínimas dependencias</w:t>
      </w:r>
    </w:p>
    <w:p>
      <w:pPr>
        <w:pStyle w:val="ListBullet"/>
      </w:pPr>
      <w:r>
        <w:rPr>
          <w:b w:val="0"/>
          <w:i w:val="0"/>
        </w:rPr>
        <w:t xml:space="preserve">Se usa únicamente la biblioteca estándar de Node.js (≥ 20 LTS): </w:t>
      </w:r>
      <w:r>
        <w:rPr>
          <w:rFonts w:ascii="Consolas" w:hAnsi="Consolas"/>
          <w:b w:val="0"/>
          <w:i w:val="0"/>
          <w:color w:val="B03060"/>
        </w:rPr>
        <w:t>node:http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node:test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node:fs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node:crypto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Agregar una dependencia externa requiere justificarla en </w:t>
      </w:r>
      <w:r>
        <w:rPr>
          <w:rFonts w:ascii="Consolas" w:hAnsi="Consolas"/>
          <w:b w:val="0"/>
          <w:i w:val="0"/>
          <w:color w:val="B03060"/>
        </w:rPr>
        <w:t>plan.md</w:t>
      </w:r>
      <w:r>
        <w:rPr>
          <w:b w:val="0"/>
          <w:i w:val="0"/>
        </w:rPr>
        <w:t xml:space="preserve"> (sección </w:t>
      </w:r>
      <w:r>
        <w:rPr>
          <w:b w:val="0"/>
          <w:i/>
        </w:rPr>
        <w:t>Complexity Tracking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>YAGNI: no se implementa funcionalidad que no esté en la especificación de la iteración en curso.</w:t>
      </w:r>
    </w:p>
    <w:p>
      <w:pPr>
        <w:pStyle w:val="Heading3"/>
      </w:pPr>
      <w:r>
        <w:rPr>
          <w:b w:val="0"/>
          <w:i w:val="0"/>
          <w:color w:val="1F3A5F"/>
        </w:rPr>
        <w:t>V. Seguridad por diseño</w:t>
      </w:r>
    </w:p>
    <w:p>
      <w:pPr>
        <w:pStyle w:val="ListBullet"/>
      </w:pPr>
      <w:r>
        <w:rPr>
          <w:b/>
          <w:i w:val="0"/>
        </w:rPr>
        <w:t>Validación estricta de entradas</w:t>
      </w:r>
      <w:r>
        <w:rPr>
          <w:b w:val="0"/>
          <w:i w:val="0"/>
        </w:rPr>
        <w:t xml:space="preserve"> en el borde (HTTP) y en el dominio: tipos, longitudes y valores enumerados.</w:t>
      </w:r>
    </w:p>
    <w:p>
      <w:pPr>
        <w:pStyle w:val="ListBullet"/>
      </w:pPr>
      <w:r>
        <w:rPr>
          <w:b/>
          <w:i w:val="0"/>
        </w:rPr>
        <w:t>Límite de tamaño del cuerpo</w:t>
      </w:r>
      <w:r>
        <w:rPr>
          <w:b w:val="0"/>
          <w:i w:val="0"/>
        </w:rPr>
        <w:t xml:space="preserve"> de petición (10 KB) para mitigar abuso de recursos.</w:t>
      </w:r>
    </w:p>
    <w:p>
      <w:pPr>
        <w:pStyle w:val="ListBullet"/>
      </w:pPr>
      <w:r>
        <w:rPr>
          <w:b/>
          <w:i w:val="0"/>
        </w:rPr>
        <w:t>No se exponen detalles internos</w:t>
      </w:r>
      <w:r>
        <w:rPr>
          <w:b w:val="0"/>
          <w:i w:val="0"/>
        </w:rPr>
        <w:t xml:space="preserve"> (trazas, mensajes de excepción) en respuestas 5xx.</w:t>
      </w:r>
    </w:p>
    <w:p>
      <w:pPr>
        <w:pStyle w:val="ListBullet"/>
      </w:pPr>
      <w:r>
        <w:rPr>
          <w:b w:val="0"/>
          <w:i w:val="0"/>
        </w:rPr>
        <w:t>Cabeceras seguras mínimas (</w:t>
      </w:r>
      <w:r>
        <w:rPr>
          <w:rFonts w:ascii="Consolas" w:hAnsi="Consolas"/>
          <w:b w:val="0"/>
          <w:i w:val="0"/>
          <w:color w:val="B03060"/>
        </w:rPr>
        <w:t>Content-Type</w:t>
      </w:r>
      <w:r>
        <w:rPr>
          <w:b w:val="0"/>
          <w:i w:val="0"/>
        </w:rPr>
        <w:t xml:space="preserve"> explícito y </w:t>
      </w:r>
      <w:r>
        <w:rPr>
          <w:rFonts w:ascii="Consolas" w:hAnsi="Consolas"/>
          <w:b w:val="0"/>
          <w:i w:val="0"/>
          <w:color w:val="B03060"/>
        </w:rPr>
        <w:t>X-Content-Type-Options: nosniff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>No se guardan secretos en el repositorio; la configuración se hace por variables de entorno (</w:t>
      </w:r>
      <w:r>
        <w:rPr>
          <w:rFonts w:ascii="Consolas" w:hAnsi="Consolas"/>
          <w:b w:val="0"/>
          <w:i w:val="0"/>
          <w:color w:val="B03060"/>
        </w:rPr>
        <w:t>PORT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DATA_FILE</w:t>
      </w:r>
      <w:r>
        <w:rPr>
          <w:b w:val="0"/>
          <w:i w:val="0"/>
        </w:rPr>
        <w:t>).</w:t>
      </w:r>
    </w:p>
    <w:p>
      <w:pPr>
        <w:pStyle w:val="Heading3"/>
      </w:pPr>
      <w:r>
        <w:rPr>
          <w:b w:val="0"/>
          <w:i w:val="0"/>
          <w:color w:val="1F3A5F"/>
        </w:rPr>
        <w:t>VI. Contratos explícitos y errores consistentes</w:t>
      </w:r>
    </w:p>
    <w:p>
      <w:pPr>
        <w:pStyle w:val="ListBullet"/>
      </w:pPr>
      <w:r>
        <w:rPr>
          <w:b w:val="0"/>
          <w:i w:val="0"/>
        </w:rPr>
        <w:t xml:space="preserve">La API responde siempre JSON con códigos HTTP semánticos: </w:t>
      </w:r>
      <w:r>
        <w:rPr>
          <w:rFonts w:ascii="Consolas" w:hAnsi="Consolas"/>
          <w:b w:val="0"/>
          <w:i w:val="0"/>
          <w:color w:val="B03060"/>
        </w:rPr>
        <w:t>200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201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204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400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404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405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409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413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500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Los errores tienen la forma </w:t>
      </w:r>
      <w:r>
        <w:rPr>
          <w:rFonts w:ascii="Consolas" w:hAnsi="Consolas"/>
          <w:b w:val="0"/>
          <w:i w:val="0"/>
          <w:color w:val="B03060"/>
        </w:rPr>
        <w:t>{ "error": string, "details"?: string[] }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Los cambios de contrato se documentan en </w:t>
      </w:r>
      <w:r>
        <w:rPr>
          <w:rFonts w:ascii="Consolas" w:hAnsi="Consolas"/>
          <w:b w:val="0"/>
          <w:i w:val="0"/>
          <w:color w:val="B03060"/>
        </w:rPr>
        <w:t>plan.md</w:t>
      </w:r>
      <w:r>
        <w:rPr>
          <w:b w:val="0"/>
          <w:i w:val="0"/>
        </w:rPr>
        <w:t xml:space="preserve"> antes de implementarse.</w:t>
      </w:r>
    </w:p>
    <w:p>
      <w:pPr>
        <w:pStyle w:val="Heading3"/>
      </w:pPr>
      <w:r>
        <w:rPr>
          <w:b w:val="0"/>
          <w:i w:val="0"/>
          <w:color w:val="1F3A5F"/>
        </w:rPr>
        <w:t>VII. Documentación viva y trazabilidad</w:t>
      </w:r>
    </w:p>
    <w:p>
      <w:pPr>
        <w:pStyle w:val="ListBullet"/>
      </w:pPr>
      <w:r>
        <w:rPr>
          <w:b w:val="0"/>
          <w:i w:val="0"/>
        </w:rPr>
        <w:t xml:space="preserve">Los artefactos </w:t>
      </w:r>
      <w:r>
        <w:rPr>
          <w:rFonts w:ascii="Consolas" w:hAnsi="Consolas"/>
          <w:b w:val="0"/>
          <w:i w:val="0"/>
          <w:color w:val="B03060"/>
        </w:rPr>
        <w:t>constitution.md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spec.md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plan.md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tasks.md</w:t>
      </w:r>
      <w:r>
        <w:rPr>
          <w:b w:val="0"/>
          <w:i w:val="0"/>
        </w:rPr>
        <w:t>, el reporte de implementación y el reporte de auditoría se versionan junto con el código.</w:t>
      </w:r>
    </w:p>
    <w:p>
      <w:pPr>
        <w:pStyle w:val="ListBullet"/>
      </w:pPr>
      <w:r>
        <w:rPr>
          <w:b w:val="0"/>
          <w:i w:val="0"/>
        </w:rPr>
        <w:t xml:space="preserve">Toda tarea completada se marca </w:t>
      </w:r>
      <w:r>
        <w:rPr>
          <w:rFonts w:ascii="Consolas" w:hAnsi="Consolas"/>
          <w:b w:val="0"/>
          <w:i w:val="0"/>
          <w:color w:val="B03060"/>
        </w:rPr>
        <w:t>[X]</w:t>
      </w:r>
      <w:r>
        <w:rPr>
          <w:b w:val="0"/>
          <w:i w:val="0"/>
        </w:rPr>
        <w:t xml:space="preserve"> en </w:t>
      </w:r>
      <w:r>
        <w:rPr>
          <w:rFonts w:ascii="Consolas" w:hAnsi="Consolas"/>
          <w:b w:val="0"/>
          <w:i w:val="0"/>
          <w:color w:val="B03060"/>
        </w:rPr>
        <w:t>tasks.md</w:t>
      </w:r>
      <w:r>
        <w:rPr>
          <w:b w:val="0"/>
          <w:i w:val="0"/>
        </w:rPr>
        <w:t xml:space="preserve"> con la evidencia (archivo o prueba).</w:t>
      </w:r>
    </w:p>
    <w:p>
      <w:pPr>
        <w:pStyle w:val="Heading2"/>
      </w:pPr>
      <w:r>
        <w:rPr>
          <w:b w:val="0"/>
          <w:i w:val="0"/>
          <w:color w:val="1F3A5F"/>
        </w:rPr>
        <w:t>Restricciones de cumplimiento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Área</w:t>
            </w:r>
          </w:p>
        </w:tc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Restricción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Plataforma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Node.js ≥ 20 LTS, multiplataforma (Windows/Linux/macOS)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Persistencia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Archivo JSON local con escritura atómica (archivo temporal + rename)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Privacidad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No se recolectan datos personales en la iteración 1 (sin usuarios)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Licencia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MIT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Idioma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Documentación y mensajes de error en español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Flujo de trabajo y calidad (Definition of Done)</w:t>
      </w:r>
    </w:p>
    <w:p>
      <w:r>
        <w:rPr>
          <w:b w:val="0"/>
          <w:i w:val="0"/>
        </w:rPr>
        <w:t xml:space="preserve">Una iteración se considera </w:t>
      </w:r>
      <w:r>
        <w:rPr>
          <w:b/>
          <w:i w:val="0"/>
        </w:rPr>
        <w:t>terminada</w:t>
      </w:r>
      <w:r>
        <w:rPr>
          <w:b w:val="0"/>
          <w:i w:val="0"/>
        </w:rPr>
        <w:t xml:space="preserve"> cuando:</w:t>
      </w:r>
    </w:p>
    <w:p>
      <w:pPr>
        <w:pStyle w:val="ListNumber"/>
      </w:pPr>
      <w:r>
        <w:rPr>
          <w:b w:val="0"/>
          <w:i w:val="0"/>
        </w:rPr>
        <w:t xml:space="preserve">Todas las tareas de </w:t>
      </w:r>
      <w:r>
        <w:rPr>
          <w:rFonts w:ascii="Consolas" w:hAnsi="Consolas"/>
          <w:b w:val="0"/>
          <w:i w:val="0"/>
          <w:color w:val="B03060"/>
        </w:rPr>
        <w:t>tasks.md</w:t>
      </w:r>
      <w:r>
        <w:rPr>
          <w:b w:val="0"/>
          <w:i w:val="0"/>
        </w:rPr>
        <w:t xml:space="preserve"> están marcadas </w:t>
      </w:r>
      <w:r>
        <w:rPr>
          <w:rFonts w:ascii="Consolas" w:hAnsi="Consolas"/>
          <w:b w:val="0"/>
          <w:i w:val="0"/>
          <w:color w:val="B03060"/>
        </w:rPr>
        <w:t>[X]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rFonts w:ascii="Consolas" w:hAnsi="Consolas"/>
          <w:b w:val="0"/>
          <w:i w:val="0"/>
          <w:color w:val="B03060"/>
        </w:rPr>
        <w:t>npm test</w:t>
      </w:r>
      <w:r>
        <w:rPr>
          <w:b w:val="0"/>
          <w:i w:val="0"/>
        </w:rPr>
        <w:t xml:space="preserve"> pasa al 100 %.</w:t>
      </w:r>
    </w:p>
    <w:p>
      <w:pPr>
        <w:pStyle w:val="ListNumber"/>
      </w:pPr>
      <w:r>
        <w:rPr>
          <w:rFonts w:ascii="Consolas" w:hAnsi="Consolas"/>
          <w:b w:val="0"/>
          <w:i w:val="0"/>
          <w:color w:val="B03060"/>
        </w:rPr>
        <w:t>npm run coverage</w:t>
      </w:r>
      <w:r>
        <w:rPr>
          <w:b w:val="0"/>
          <w:i w:val="0"/>
        </w:rPr>
        <w:t xml:space="preserve"> cumple los umbrales del Principio III.</w:t>
      </w:r>
    </w:p>
    <w:p>
      <w:pPr>
        <w:pStyle w:val="ListNumber"/>
      </w:pPr>
      <w:r>
        <w:rPr>
          <w:b w:val="0"/>
          <w:i w:val="0"/>
        </w:rPr>
        <w:t>El reporte de auditoría (</w:t>
      </w:r>
      <w:r>
        <w:rPr>
          <w:rFonts w:ascii="Consolas" w:hAnsi="Consolas"/>
          <w:b w:val="0"/>
          <w:i w:val="0"/>
          <w:color w:val="B03060"/>
        </w:rPr>
        <w:t>/speckit-converge</w:t>
      </w:r>
      <w:r>
        <w:rPr>
          <w:b w:val="0"/>
          <w:i w:val="0"/>
        </w:rPr>
        <w:t xml:space="preserve"> / coverage) indica estado </w:t>
      </w:r>
      <w:r>
        <w:rPr>
          <w:b/>
          <w:i w:val="0"/>
        </w:rPr>
        <w:t>CONVERGED</w:t>
      </w:r>
      <w:r>
        <w:rPr>
          <w:b w:val="0"/>
          <w:i w:val="0"/>
        </w:rPr>
        <w:t xml:space="preserve"> sin hallazgos críticos abiertos.</w:t>
      </w:r>
    </w:p>
    <w:p>
      <w:pPr>
        <w:pStyle w:val="ListNumber"/>
      </w:pPr>
      <w:r>
        <w:rPr>
          <w:b w:val="0"/>
          <w:i w:val="0"/>
        </w:rPr>
        <w:t>Cada requisito funcional de la especificación tiene al menos una prueba trazable.</w:t>
      </w:r>
    </w:p>
    <w:p>
      <w:pPr>
        <w:pStyle w:val="Heading2"/>
      </w:pPr>
      <w:r>
        <w:rPr>
          <w:b w:val="0"/>
          <w:i w:val="0"/>
          <w:color w:val="1F3A5F"/>
        </w:rPr>
        <w:t>Gobernanza</w:t>
      </w:r>
    </w:p>
    <w:p>
      <w:pPr>
        <w:pStyle w:val="ListBullet"/>
      </w:pPr>
      <w:r>
        <w:rPr>
          <w:b w:val="0"/>
          <w:i w:val="0"/>
        </w:rPr>
        <w:t xml:space="preserve">Esta constitución está </w:t>
      </w:r>
      <w:r>
        <w:rPr>
          <w:b/>
          <w:i w:val="0"/>
        </w:rPr>
        <w:t>por encima</w:t>
      </w:r>
      <w:r>
        <w:rPr>
          <w:b w:val="0"/>
          <w:i w:val="0"/>
        </w:rPr>
        <w:t xml:space="preserve"> de cualquier otra práctica o instrucción del proyecto.</w:t>
      </w:r>
    </w:p>
    <w:p>
      <w:pPr>
        <w:pStyle w:val="ListBullet"/>
      </w:pPr>
      <w:r>
        <w:rPr>
          <w:b/>
          <w:i w:val="0"/>
        </w:rPr>
        <w:t>Enmiendas:</w:t>
      </w:r>
      <w:r>
        <w:rPr>
          <w:b w:val="0"/>
          <w:i w:val="0"/>
        </w:rPr>
        <w:t xml:space="preserve"> se proponen por escrito, se justifican, se aprueban por el equipo y se versionan según SemVer (MAYOR: elimina o redefine un principio; MENOR: agrega un principio; PARCHE: aclaraciones).</w:t>
      </w:r>
    </w:p>
    <w:p>
      <w:pPr>
        <w:pStyle w:val="ListBullet"/>
      </w:pPr>
      <w:r>
        <w:rPr>
          <w:b w:val="0"/>
          <w:i w:val="0"/>
        </w:rPr>
        <w:t xml:space="preserve">En la fase de convergencia, el agente debe verificar el cumplimiento de </w:t>
      </w:r>
      <w:r>
        <w:rPr>
          <w:b/>
          <w:i w:val="0"/>
        </w:rPr>
        <w:t>cada</w:t>
      </w:r>
      <w:r>
        <w:rPr>
          <w:b w:val="0"/>
          <w:i w:val="0"/>
        </w:rPr>
        <w:t xml:space="preserve"> principio y reportar las desviaciones.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