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3A5F"/>
          <w:sz w:val="64"/>
          <w:szCs w:val="64"/>
        </w:rPr>
        <w:t xml:space="preserve">CareTrust</w:t>
      </w:r>
    </w:p>
    <w:p>
      <w:pPr>
        <w:spacing w:after="100"/>
        <w:jc w:val="center"/>
      </w:pPr>
      <w:r>
        <w:rPr>
          <w:color w:val="2E6F8E"/>
          <w:sz w:val="36"/>
          <w:szCs w:val="36"/>
        </w:rPr>
        <w:t xml:space="preserve">User Guide</w:t>
      </w:r>
    </w:p>
    <w:p>
      <w:pPr>
        <w:spacing w:after="2000"/>
        <w:jc w:val="center"/>
      </w:pPr>
      <w:r>
        <w:rPr>
          <w:i/>
          <w:iCs/>
          <w:color w:val="595959"/>
          <w:sz w:val="22"/>
          <w:szCs w:val="22"/>
        </w:rPr>
        <w:t xml:space="preserve">A day-to-day guide to using the platform — for administrators, managers, carers and family members</w:t>
      </w:r>
    </w:p>
    <w:p>
      <w:pPr>
        <w:jc w:val="center"/>
      </w:pPr>
      <w:r>
        <w:rPr>
          <w:color w:val="595959"/>
          <w:sz w:val="20"/>
          <w:szCs w:val="20"/>
        </w:rPr>
        <w:t xml:space="preserve">Covers the CareTrust build as of Batch 7</w:t>
      </w:r>
    </w:p>
    <w:p>
      <w:r>
        <w:br w:type="page"/>
      </w:r>
    </w:p>
    <w:p>
      <w:pPr>
        <w:pStyle w:val="Heading1"/>
        <w:spacing w:after="200" w:before="4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Welcome to CareTrust</w:t>
      </w:r>
    </w:p>
    <w:p>
      <w:pPr>
        <w:spacing w:after="160"/>
      </w:pPr>
      <w:r>
        <w:t xml:space="preserve">CareTrust is the platform your agency uses to plan and deliver care: building weekly rotas, running timesheets and payroll, writing and tracking care plans and tasks, recording medication, managing safeguarding concerns, and keeping the compliance paperwork — policies, training, audits, data protection requests — in one place.</w:t>
      </w:r>
    </w:p>
    <w:p>
      <w:pPr>
        <w:spacing w:after="160"/>
      </w:pPr>
      <w:r>
        <w:t xml:space="preserve">This guide walks through what each type of user can actually do in the system today, screen by screen. It is written for the people using CareTrust day to day, not for developers — for a technical description of the system’s architecture and data model, see CareTrust_System_Documentation_Revised.docx alongside this guide.</w:t>
      </w:r>
    </w:p>
    <w:p>
      <w:pPr>
        <w:pStyle w:val="Heading2"/>
        <w:spacing w:after="120" w:before="300"/>
      </w:pPr>
      <w:r>
        <w:t xml:space="preserve">Who uses CareTrust</w:t>
      </w:r>
    </w:p>
    <w:p>
      <w:pPr>
        <w:pStyle w:val="ListParagraph"/>
        <w:numPr>
          <w:ilvl w:val="0"/>
          <w:numId w:val="2"/>
        </w:numPr>
        <w:spacing w:after="80"/>
      </w:pPr>
      <w:r>
        <w:t xml:space="preserve">Super Admin — unrestricted access across the whole system; normally reserved for whoever administers CareTrust itself, not day-to-day agency staff.</w:t>
      </w:r>
    </w:p>
    <w:p>
      <w:pPr>
        <w:pStyle w:val="ListParagraph"/>
        <w:numPr>
          <w:ilvl w:val="0"/>
          <w:numId w:val="2"/>
        </w:numPr>
        <w:spacing w:after="80"/>
      </w:pPr>
      <w:r>
        <w:t xml:space="preserve">Admin — full agency administration: staff, agency settings, policies, compliance, data protection, and everything a Manager can do.</w:t>
      </w:r>
    </w:p>
    <w:p>
      <w:pPr>
        <w:pStyle w:val="ListParagraph"/>
        <w:numPr>
          <w:ilvl w:val="0"/>
          <w:numId w:val="2"/>
        </w:numPr>
        <w:spacing w:after="80"/>
      </w:pPr>
      <w:r>
        <w:t xml:space="preserve">Manager — day-to-day running of the agency: building the rota, approving timesheets and payroll, managing service users and care plans, safeguarding, staff.</w:t>
      </w:r>
    </w:p>
    <w:p>
      <w:pPr>
        <w:pStyle w:val="ListParagraph"/>
        <w:numPr>
          <w:ilvl w:val="0"/>
          <w:numId w:val="2"/>
        </w:numPr>
        <w:spacing w:after="80"/>
      </w:pPr>
      <w:r>
        <w:t xml:space="preserve">Carer — the frontline user: sees their own published shifts, completes tasks, records medication, fills in their timesheet, can raise a safeguarding concern.</w:t>
      </w:r>
    </w:p>
    <w:p>
      <w:pPr>
        <w:pStyle w:val="ListParagraph"/>
        <w:numPr>
          <w:ilvl w:val="0"/>
          <w:numId w:val="2"/>
        </w:numPr>
        <w:spacing w:after="80"/>
      </w:pPr>
      <w:r>
        <w:t xml:space="preserve">Family — a restricted account linked to one service user, for a relative to see that person’s care plan and the timeline entries marked as shareable with family.</w:t>
      </w:r>
    </w:p>
    <w:p>
      <w:pPr>
        <w:pBdr>
          <w:left w:val="single" w:color="2E6F8E" w:sz="12" w:space="8"/>
        </w:pBdr>
        <w:spacing w:after="200" w:before="100"/>
        <w:ind w:left="200"/>
      </w:pPr>
      <w:r>
        <w:rPr>
          <w:b/>
          <w:bCs/>
          <w:color w:val="2E6F8E"/>
        </w:rPr>
        <w:t xml:space="preserve">Note: </w:t>
      </w:r>
      <w:r>
        <w:rPr>
          <w:i/>
          <w:iCs/>
          <w:color w:val="595959"/>
        </w:rPr>
        <w:t xml:space="preserve">What you see in the menu is controlled by your role. If something described in this guide doesn’t appear for you, it’s most likely gated behind a permission your account doesn’t have — ask an Admin or Manager rather than assuming it’s missing.</w:t>
      </w:r>
    </w:p>
    <w:p>
      <w:pPr>
        <w:pStyle w:val="Heading1"/>
        <w:spacing w:after="200" w:before="400"/>
      </w:pPr>
      <w:r>
        <w:t xml:space="preserve">2. Getting Started</w:t>
      </w:r>
    </w:p>
    <w:p>
      <w:pPr>
        <w:pStyle w:val="Heading2"/>
        <w:spacing w:after="120" w:before="300"/>
      </w:pPr>
      <w:r>
        <w:t xml:space="preserve">Logging in</w:t>
      </w:r>
    </w:p>
    <w:p>
      <w:pPr>
        <w:spacing w:after="160"/>
      </w:pPr>
      <w:r>
        <w:t xml:space="preserve">Go to the CareTrust login page and sign in with the email and password your agency set up for you. If you’ve forgotten your password, use the “Forgot password” link on the login page to reset it by email.</w:t>
      </w:r>
    </w:p>
    <w:p>
      <w:pPr>
        <w:pStyle w:val="Heading2"/>
        <w:spacing w:after="120" w:before="300"/>
      </w:pPr>
      <w:r>
        <w:t xml:space="preserve">Finding your way around</w:t>
      </w:r>
    </w:p>
    <w:p>
      <w:pPr>
        <w:spacing w:after="160"/>
      </w:pPr>
      <w:r>
        <w:t xml:space="preserve">Once logged in you land on the Dashboard. Navigation has two levels:</w:t>
      </w:r>
    </w:p>
    <w:p>
      <w:pPr>
        <w:pStyle w:val="ListParagraph"/>
        <w:numPr>
          <w:ilvl w:val="0"/>
          <w:numId w:val="2"/>
        </w:numPr>
        <w:spacing w:after="80"/>
      </w:pPr>
      <w:r>
        <w:t xml:space="preserve">A top bar for switching between modules. Today CareTrust has one module, Care Management — this is where everything in this guide lives.</w:t>
      </w:r>
    </w:p>
    <w:p>
      <w:pPr>
        <w:pStyle w:val="ListParagraph"/>
        <w:numPr>
          <w:ilvl w:val="0"/>
          <w:numId w:val="2"/>
        </w:numPr>
        <w:spacing w:after="80"/>
      </w:pPr>
      <w:r>
        <w:t xml:space="preserve">A left-hand sidebar within that module, grouping screens under headings like Care Management, Compliance &amp; Governance, Rota Management, and User Management.</w:t>
      </w:r>
    </w:p>
    <w:p>
      <w:pPr>
        <w:spacing w:after="160"/>
      </w:pPr>
      <w:r>
        <w:t xml:space="preserve">The exact sidebar items you see depend on your role — a Carer’s sidebar is much shorter than a Manager’s.</w:t>
      </w:r>
    </w:p>
    <w:p>
      <w:pPr>
        <w:pStyle w:val="Heading2"/>
        <w:spacing w:after="120" w:before="300"/>
      </w:pPr>
      <w:r>
        <w:t xml:space="preserve">The Dashboard</w:t>
      </w:r>
    </w:p>
    <w:p>
      <w:pPr>
        <w:spacing w:after="160"/>
      </w:pPr>
      <w:r>
        <w:t xml:space="preserve">The Dashboard gives a rolling summary of the agency over a selectable time window (default 30 days), including:</w:t>
      </w:r>
    </w:p>
    <w:p>
      <w:pPr>
        <w:pStyle w:val="ListParagraph"/>
        <w:numPr>
          <w:ilvl w:val="0"/>
          <w:numId w:val="2"/>
        </w:numPr>
        <w:spacing w:after="80"/>
      </w:pPr>
      <w:r>
        <w:t xml:space="preserve">Service users — how many are active, inactive, consented, or still pending consent.</w:t>
      </w:r>
    </w:p>
    <w:p>
      <w:pPr>
        <w:pStyle w:val="ListParagraph"/>
        <w:numPr>
          <w:ilvl w:val="0"/>
          <w:numId w:val="2"/>
        </w:numPr>
        <w:spacing w:after="80"/>
      </w:pPr>
      <w:r>
        <w:t xml:space="preserve">Shifts — scheduled, completed, missed and upcoming, plus an 8-week completion-rate trend.</w:t>
      </w:r>
    </w:p>
    <w:p>
      <w:pPr>
        <w:pStyle w:val="ListParagraph"/>
        <w:numPr>
          <w:ilvl w:val="0"/>
          <w:numId w:val="2"/>
        </w:numPr>
        <w:spacing w:after="80"/>
      </w:pPr>
      <w:r>
        <w:t xml:space="preserve">Medication adherence — given, prompted, refused and missed doses, and an overall adherence rate.</w:t>
      </w:r>
    </w:p>
    <w:p>
      <w:pPr>
        <w:pStyle w:val="ListParagraph"/>
        <w:numPr>
          <w:ilvl w:val="0"/>
          <w:numId w:val="2"/>
        </w:numPr>
        <w:spacing w:after="80"/>
      </w:pPr>
      <w:r>
        <w:t xml:space="preserve">Safeguarding — counts by status (open, investigating, resolved, closed) and how many are currently escalated.</w:t>
      </w:r>
    </w:p>
    <w:p>
      <w:pPr>
        <w:pStyle w:val="ListParagraph"/>
        <w:numPr>
          <w:ilvl w:val="0"/>
          <w:numId w:val="2"/>
        </w:numPr>
        <w:spacing w:after="80"/>
      </w:pPr>
      <w:r>
        <w:t xml:space="preserve">Timesheets — counts by status (draft, submitted, approved, rejected, paid).</w:t>
      </w:r>
    </w:p>
    <w:p>
      <w:pPr>
        <w:pStyle w:val="ListParagraph"/>
        <w:numPr>
          <w:ilvl w:val="0"/>
          <w:numId w:val="2"/>
        </w:numPr>
        <w:spacing w:after="80"/>
      </w:pPr>
      <w:r>
        <w:t xml:space="preserve">Payroll — the most recently paid payroll run.</w:t>
      </w:r>
    </w:p>
    <w:p>
      <w:pPr>
        <w:pStyle w:val="ListParagraph"/>
        <w:numPr>
          <w:ilvl w:val="0"/>
          <w:numId w:val="2"/>
        </w:numPr>
        <w:spacing w:after="80"/>
      </w:pPr>
      <w:r>
        <w:t xml:space="preserve">Care plan reviews — how many active plans are on track, due soon, or overdue for review.</w:t>
      </w:r>
    </w:p>
    <w:p>
      <w:pPr>
        <w:spacing w:after="160"/>
      </w:pPr>
      <w:r>
        <w:t xml:space="preserve">The Dashboard reflects your own agency’s data only — CareTrust keeps every agency’s records separate.</w:t>
      </w:r>
    </w:p>
    <w:p>
      <w:pPr>
        <w:pStyle w:val="Heading2"/>
        <w:spacing w:after="120" w:before="300"/>
      </w:pPr>
      <w:r>
        <w:t xml:space="preserve">Notifications</w:t>
      </w:r>
    </w:p>
    <w:p>
      <w:pPr>
        <w:spacing w:after="160"/>
      </w:pPr>
      <w:r>
        <w:t xml:space="preserve">The bell icon in the top bar opens your Notifications, which CareTrust raises automatically for things that need your attention — for example, a carer is notified when a rota covering their shifts is published, and a manager is notified when a safeguarding report is escalated to them. Notifications can be marked as read individually.</w:t>
      </w:r>
    </w:p>
    <w:p>
      <w:pPr>
        <w:pStyle w:val="Heading1"/>
        <w:spacing w:after="200" w:before="400"/>
      </w:pPr>
      <w:r>
        <w:t xml:space="preserve">3. Service Users</w:t>
      </w:r>
    </w:p>
    <w:p>
      <w:pPr>
        <w:spacing w:after="160"/>
      </w:pPr>
      <w:r>
        <w:t xml:space="preserve">A service user is a person receiving care. Their record is the hub that everything else — care plans, tasks, assessments, consents, medication, family access, the care timeline, and safeguarding reports — hangs off.</w:t>
      </w:r>
    </w:p>
    <w:p>
      <w:pPr>
        <w:pStyle w:val="Heading2"/>
        <w:spacing w:after="120" w:before="300"/>
      </w:pPr>
      <w:r>
        <w:t xml:space="preserve">Adding and editing a service user</w:t>
      </w:r>
    </w:p>
    <w:p>
      <w:pPr>
        <w:spacing w:after="160"/>
      </w:pPr>
      <w:r>
        <w:t xml:space="preserve">From User Management → Service Users, an Admin or Manager can add a new service user (name, date of birth, gender, address, NHS number, next of kin) or edit an existing one. Removing a service user is a soft delete — their record and history are kept, but they drop out of active lists and rota/task screens.</w:t>
      </w:r>
    </w:p>
    <w:p>
      <w:pPr>
        <w:pStyle w:val="Heading2"/>
        <w:spacing w:after="120" w:before="300"/>
      </w:pPr>
      <w:r>
        <w:t xml:space="preserve">A service user’s profile</w:t>
      </w:r>
    </w:p>
    <w:p>
      <w:pPr>
        <w:spacing w:after="160"/>
      </w:pPr>
      <w:r>
        <w:t xml:space="preserve">Opening a service user gives access to everything specific to them:</w:t>
      </w:r>
    </w:p>
    <w:p>
      <w:pPr>
        <w:pStyle w:val="ListParagraph"/>
        <w:numPr>
          <w:ilvl w:val="0"/>
          <w:numId w:val="2"/>
        </w:numPr>
        <w:spacing w:after="80"/>
      </w:pPr>
      <w:r>
        <w:t xml:space="preserve">Care Plans &amp; Tasks — see section 4.</w:t>
      </w:r>
    </w:p>
    <w:p>
      <w:pPr>
        <w:pStyle w:val="ListParagraph"/>
        <w:numPr>
          <w:ilvl w:val="0"/>
          <w:numId w:val="2"/>
        </w:numPr>
        <w:spacing w:after="80"/>
      </w:pPr>
      <w:r>
        <w:t xml:space="preserve">Assessments — see section 5.</w:t>
      </w:r>
    </w:p>
    <w:p>
      <w:pPr>
        <w:pStyle w:val="ListParagraph"/>
        <w:numPr>
          <w:ilvl w:val="0"/>
          <w:numId w:val="2"/>
        </w:numPr>
        <w:spacing w:after="80"/>
      </w:pPr>
      <w:r>
        <w:t xml:space="preserve">Consents — see section 6.</w:t>
      </w:r>
    </w:p>
    <w:p>
      <w:pPr>
        <w:pStyle w:val="ListParagraph"/>
        <w:numPr>
          <w:ilvl w:val="0"/>
          <w:numId w:val="2"/>
        </w:numPr>
        <w:spacing w:after="80"/>
      </w:pPr>
      <w:r>
        <w:t xml:space="preserve">Family — linked family member accounts, see section 7.</w:t>
      </w:r>
    </w:p>
    <w:p>
      <w:pPr>
        <w:pStyle w:val="ListParagraph"/>
        <w:numPr>
          <w:ilvl w:val="0"/>
          <w:numId w:val="2"/>
        </w:numPr>
        <w:spacing w:after="80"/>
      </w:pPr>
      <w:r>
        <w:t xml:space="preserve">Care Timeline — a running log of what’s happened for this person: completed tasks, visit notes, and other events, each one flagged as visible to family or staff-only.</w:t>
      </w:r>
    </w:p>
    <w:p>
      <w:pPr>
        <w:pStyle w:val="ListParagraph"/>
        <w:numPr>
          <w:ilvl w:val="0"/>
          <w:numId w:val="2"/>
        </w:numPr>
        <w:spacing w:after="80"/>
      </w:pPr>
      <w:r>
        <w:t xml:space="preserve">Medications — see section 8.</w:t>
      </w:r>
    </w:p>
    <w:p>
      <w:pPr>
        <w:pStyle w:val="ListParagraph"/>
        <w:numPr>
          <w:ilvl w:val="0"/>
          <w:numId w:val="2"/>
        </w:numPr>
        <w:spacing w:after="80"/>
      </w:pPr>
      <w:r>
        <w:t xml:space="preserve">Safeguarding reports — any concerns raised about this person, see section 12.</w:t>
      </w:r>
    </w:p>
    <w:p>
      <w:pPr>
        <w:pStyle w:val="Heading1"/>
        <w:spacing w:after="200" w:before="400"/>
      </w:pPr>
      <w:r>
        <w:t xml:space="preserve">4. Care Plans &amp; Tasks</w:t>
      </w:r>
    </w:p>
    <w:p>
      <w:pPr>
        <w:spacing w:after="160"/>
      </w:pPr>
      <w:r>
        <w:t xml:space="preserve">CareTrust currently has two related screens for care plans, and it’s worth knowing how they relate to each other since both edit the same underlying plan.</w:t>
      </w:r>
    </w:p>
    <w:p>
      <w:pPr>
        <w:pStyle w:val="Heading2"/>
        <w:spacing w:after="120" w:before="300"/>
      </w:pPr>
      <w:r>
        <w:t xml:space="preserve">Care Plans (Care Management → Care Plans)</w:t>
      </w:r>
    </w:p>
    <w:p>
      <w:pPr>
        <w:spacing w:after="160"/>
      </w:pPr>
      <w:r>
        <w:t xml:space="preserve">The straightforward view: a title, a summary, a review date, an active/inactive flag, and the list of tasks under that plan. This is where day-to-day task management happens.</w:t>
      </w:r>
    </w:p>
    <w:p>
      <w:pPr>
        <w:pStyle w:val="Heading3"/>
        <w:spacing w:after="100" w:before="200"/>
      </w:pPr>
      <w:r>
        <w:t xml:space="preserve">Tasks</w:t>
      </w:r>
    </w:p>
    <w:p>
      <w:pPr>
        <w:spacing w:after="160"/>
      </w:pPr>
      <w:r>
        <w:t xml:space="preserve">A task belongs to a care plan and is assigned to a carer, with a type (personal care, medication, mobility, meal, welfare check, and so on), a scheduled and due time, a priority, and optional requirements — a task can require a photo and/or a signature before it can be marked complete.</w:t>
      </w:r>
    </w:p>
    <w:p>
      <w:pPr>
        <w:spacing w:after="160"/>
      </w:pPr>
      <w:r>
        <w:t xml:space="preserve">A carer completes a task with one of several outcomes — completed, refused, or skipped — and can add a note. Completing a task automatically adds an entry to that service user’s Care Timeline, so managers and (where marked shareable) family members can see what happened without hunting through separate screens.</w:t>
      </w:r>
    </w:p>
    <w:p>
      <w:pPr>
        <w:pStyle w:val="Heading2"/>
        <w:spacing w:after="120" w:before="300"/>
      </w:pPr>
      <w:r>
        <w:t xml:space="preserve">The Care Management plan editor</w:t>
      </w:r>
    </w:p>
    <w:p>
      <w:pPr>
        <w:spacing w:after="160"/>
      </w:pPr>
      <w:r>
        <w:t xml:space="preserve">The Care Management module’s own plan screen edits the same plans in more depth: structured sections for care needs, risk assessments, a daily routine, emergency contacts, equipment and aids, dietary requirements, communication needs, and goals &amp; outcomes, plus the option to generate a report of the plan.</w:t>
      </w:r>
    </w:p>
    <w:p>
      <w:pPr>
        <w:pBdr>
          <w:left w:val="single" w:color="2E6F8E" w:sz="12" w:space="8"/>
        </w:pBdr>
        <w:spacing w:after="200" w:before="100"/>
        <w:ind w:left="200"/>
      </w:pPr>
      <w:r>
        <w:rPr>
          <w:b/>
          <w:bCs/>
          <w:color w:val="2E6F8E"/>
        </w:rPr>
        <w:t xml:space="preserve">Note: </w:t>
      </w:r>
      <w:r>
        <w:rPr>
          <w:i/>
          <w:iCs/>
          <w:color w:val="595959"/>
        </w:rPr>
        <w:t xml:space="preserve">Because both screens edit the same plan record, a change made in one is visible in the other. Use the Care Plans screen for everyday task management and the Care Management plan editor when you need to document the fuller structured plan.</w:t>
      </w:r>
    </w:p>
    <w:p>
      <w:pPr>
        <w:pStyle w:val="Heading1"/>
        <w:spacing w:after="200" w:before="400"/>
      </w:pPr>
      <w:r>
        <w:t xml:space="preserve">5. Assessments</w:t>
      </w:r>
    </w:p>
    <w:p>
      <w:pPr>
        <w:spacing w:after="160"/>
      </w:pPr>
      <w:r>
        <w:t xml:space="preserve">An assessment records a structured risk review for a service user — for example falls risk, moving &amp; handling, or an initial assessment — as a set of questions and answers, an overall risk level (low, medium or high), any recommendations, and a review date. The Dashboard’s care-plan review tracking and general good practice both depend on assessments being kept current, so an overdue review date is worth acting on rather than leaving.</w:t>
      </w:r>
    </w:p>
    <w:p>
      <w:pPr>
        <w:pStyle w:val="Heading1"/>
        <w:spacing w:after="200" w:before="400"/>
      </w:pPr>
      <w:r>
        <w:t xml:space="preserve">6. Consents</w:t>
      </w:r>
    </w:p>
    <w:p>
      <w:pPr>
        <w:spacing w:after="160"/>
      </w:pPr>
      <w:r>
        <w:t xml:space="preserve">Consent is tracked per service user and per purpose — for example information sharing, photography, family updates, or medication-related communication — rather than as a single yes/no flag. Each consent record shows who granted it and when, and can be revoked or can expire.</w:t>
      </w:r>
    </w:p>
    <w:p>
      <w:pPr>
        <w:spacing w:after="160"/>
      </w:pPr>
      <w:r>
        <w:t xml:space="preserve">A service user’s overall consent status (shown on their profile and on the Dashboard) reflects whether they have valid, unexpired, ungranted consent on file — an expired or revoked consent will show that service user as pending, which is a prompt to follow up rather than an error.</w:t>
      </w:r>
    </w:p>
    <w:p>
      <w:pPr>
        <w:pStyle w:val="Heading1"/>
        <w:spacing w:after="200" w:before="400"/>
      </w:pPr>
      <w:r>
        <w:t xml:space="preserve">7. Family Access</w:t>
      </w:r>
    </w:p>
    <w:p>
      <w:pPr>
        <w:spacing w:after="160"/>
      </w:pPr>
      <w:r>
        <w:t xml:space="preserve">From a service user’s Family tab, a Manager or Admin can link a family member to that service user — either by creating a new Family-role account for them (CareTrust generates a one-time password to pass on securely) or by linking an existing account. Each link records the relationship, whether that person is the primary contact, and whether they should receive updates.</w:t>
      </w:r>
    </w:p>
    <w:p>
      <w:pPr>
        <w:pStyle w:val="Heading2"/>
        <w:spacing w:after="120" w:before="300"/>
      </w:pPr>
      <w:r>
        <w:t xml:space="preserve">What a family member sees</w:t>
      </w:r>
    </w:p>
    <w:p>
      <w:pPr>
        <w:spacing w:after="160"/>
      </w:pPr>
      <w:r>
        <w:t xml:space="preserve">Logging in with a Family account opens a separate, restricted family portal rather than the staff interface. A family member sees only their linked service user’s care plan and the Care Timeline entries that staff have explicitly marked as visible to family — internal, staff-only notes never appear there.</w:t>
      </w:r>
    </w:p>
    <w:p>
      <w:pPr>
        <w:pStyle w:val="Heading1"/>
        <w:spacing w:after="200" w:before="400"/>
      </w:pPr>
      <w:r>
        <w:t xml:space="preserve">8. Medication Management</w:t>
      </w:r>
    </w:p>
    <w:p>
      <w:pPr>
        <w:spacing w:after="160"/>
      </w:pPr>
      <w:r>
        <w:t xml:space="preserve">Medications are set up per service user — name, dosage, frequency, route, scheduled times, and whether it’s a regular scheduled medication or given as needed (PRN). Each administration is then recorded against a scheduled time with one of four outcomes: given, prompted, refused, or missed, along with who administered it, the actual time, and any notes (a refusal records a reason; a witnessed administration can record a witness signature).</w:t>
      </w:r>
    </w:p>
    <w:p>
      <w:pPr>
        <w:spacing w:after="160"/>
      </w:pPr>
      <w:r>
        <w:t xml:space="preserve">The MAR (Medication Administration Record) chart view brings a service user’s medications and their administration history together in one place, and feeds the adherence figures shown on the Dashboard.</w:t>
      </w:r>
    </w:p>
    <w:p>
      <w:pPr>
        <w:pStyle w:val="Heading1"/>
        <w:spacing w:after="200" w:before="400"/>
      </w:pPr>
      <w:r>
        <w:t xml:space="preserve">9. Rota Management</w:t>
      </w:r>
    </w:p>
    <w:p>
      <w:pPr>
        <w:pStyle w:val="Heading2"/>
        <w:spacing w:after="120" w:before="300"/>
      </w:pPr>
      <w:r>
        <w:t xml:space="preserve">Building a rota (Manager/Admin)</w:t>
      </w:r>
    </w:p>
    <w:p>
      <w:pPr>
        <w:spacing w:after="160"/>
      </w:pPr>
      <w:r>
        <w:t xml:space="preserve">A rota is organised into weekly Rota Plans. Within a plan, shifts are created for a week commencing date, each one linking a service user, an assigned carer, a scheduled start and end time, a day or night shift type, and a break allowance. A rota starts as a draft and is not visible to carers until it’s published — publishing sends a notification to every carer with a shift that week.</w:t>
      </w:r>
    </w:p>
    <w:p>
      <w:pPr>
        <w:pStyle w:val="Heading2"/>
        <w:spacing w:after="120" w:before="300"/>
      </w:pPr>
      <w:r>
        <w:t xml:space="preserve">My Rota (Carer)</w:t>
      </w:r>
    </w:p>
    <w:p>
      <w:pPr>
        <w:spacing w:after="160"/>
      </w:pPr>
      <w:r>
        <w:t xml:space="preserve">Carers see only their own published shifts under My Rota — a draft week, or another carer’s shifts, never appears here. This is deliberate: it keeps a carer’s view limited to schedules that are actually confirmed.</w:t>
      </w:r>
    </w:p>
    <w:p>
      <w:pPr>
        <w:pStyle w:val="Heading1"/>
        <w:spacing w:after="200" w:before="400"/>
      </w:pPr>
      <w:r>
        <w:t xml:space="preserve">10. Timesheets</w:t>
      </w:r>
    </w:p>
    <w:p>
      <w:pPr>
        <w:spacing w:after="160"/>
      </w:pPr>
      <w:r>
        <w:t xml:space="preserve">Publishing a rota (or a Manager generating timesheets from it) creates a draft weekly timesheet per carer, pre-filled from their scheduled shifts — day-shift and night-shift start/finish times, a break allowance, and the service user(s) worked with, laid out like a paper timesheet with one row per day.</w:t>
      </w:r>
    </w:p>
    <w:p>
      <w:pPr>
        <w:spacing w:after="160"/>
      </w:pPr>
      <w:r>
        <w:t xml:space="preserve">A carer can adjust the times if needed, and the total hours for each day and the week update automatically as they’re entered. Once ready, the carer submits the timesheet; a Manager then approves or rejects it — a rejected timesheet goes back to the carer with a comment explaining why, ready to be corrected and resubmitted. Approved and paid timesheets are locked from further editing by the carer.</w:t>
      </w:r>
    </w:p>
    <w:p>
      <w:pPr>
        <w:spacing w:after="160"/>
      </w:pPr>
      <w:r>
        <w:t xml:space="preserve">Hours worked beyond a carer’s weekly overtime threshold (set on their pay profile) are automatically split out as overtime hours rather than regular hours, ready to be paid at the overtime rate during payroll.</w:t>
      </w:r>
    </w:p>
    <w:p>
      <w:pPr>
        <w:pStyle w:val="Heading1"/>
        <w:spacing w:after="200" w:before="400"/>
      </w:pPr>
      <w:r>
        <w:t xml:space="preserve">11. Payroll</w:t>
      </w:r>
    </w:p>
    <w:p>
      <w:pPr>
        <w:pStyle w:val="Heading2"/>
        <w:spacing w:after="120" w:before="300"/>
      </w:pPr>
      <w:r>
        <w:t xml:space="preserve">Running payroll (Manager/Admin)</w:t>
      </w:r>
    </w:p>
    <w:p>
      <w:pPr>
        <w:spacing w:after="160"/>
      </w:pPr>
      <w:r>
        <w:t xml:space="preserve">A payroll run covers a pay period (a date range) and, once created, can generate a payslip for every carer with an approved, not-yet-paid timesheet falling inside that period — provided that carer has a pay profile (hourly rate, overtime multiplier and threshold) set up. Each payslip’s gross pay is calculated automatically from the timesheet’s regular and overtime hours at that carer’s rates.</w:t>
      </w:r>
    </w:p>
    <w:p>
      <w:pPr>
        <w:spacing w:after="160"/>
      </w:pPr>
      <w:r>
        <w:t xml:space="preserve">From a draft payslip you can add extra earnings (for example a bonus) or deductions (for example tax or a loan repayment); each addition recalculates the net pay immediately. Once the figures are right, approve the payroll run and then mark it as paid — both actions apply to every payslip in the run at once.</w:t>
      </w:r>
    </w:p>
    <w:p>
      <w:pPr>
        <w:pStyle w:val="Heading2"/>
        <w:spacing w:after="120" w:before="300"/>
      </w:pPr>
      <w:r>
        <w:t xml:space="preserve">Viewing and printing a payslip</w:t>
      </w:r>
    </w:p>
    <w:p>
      <w:pPr>
        <w:spacing w:after="160"/>
      </w:pPr>
      <w:r>
        <w:t xml:space="preserve">Opening an individual payslip shows a printable document: an agency letterhead, the employee’s details and pay period, a proper breakdown of earnings and deductions, and the net pay clearly highlighted. The Print Payslip and Download PDF buttons above it both open your browser’s print dialog — choose “Save as PDF” there to download a copy.</w:t>
      </w:r>
    </w:p>
    <w:p>
      <w:pPr>
        <w:pStyle w:val="Heading1"/>
        <w:spacing w:after="200" w:before="400"/>
      </w:pPr>
      <w:r>
        <w:t xml:space="preserve">12. Safeguarding</w:t>
      </w:r>
    </w:p>
    <w:p>
      <w:pPr>
        <w:spacing w:after="160"/>
      </w:pPr>
      <w:r>
        <w:t xml:space="preserve">Anyone — carer, manager, or admin — can raise a safeguarding report against a service user, choosing a concern type (for example neglect, physical, financial, or self-neglect) and a description. From there a report moves through a clear lifecycle:</w:t>
      </w:r>
    </w:p>
    <w:p>
      <w:pPr>
        <w:pStyle w:val="ListParagraph"/>
        <w:numPr>
          <w:ilvl w:val="0"/>
          <w:numId w:val="2"/>
        </w:numPr>
        <w:spacing w:after="80"/>
      </w:pPr>
      <w:r>
        <w:t xml:space="preserve">Open — the report has been raised and logged.</w:t>
      </w:r>
    </w:p>
    <w:p>
      <w:pPr>
        <w:pStyle w:val="ListParagraph"/>
        <w:numPr>
          <w:ilvl w:val="0"/>
          <w:numId w:val="2"/>
        </w:numPr>
        <w:spacing w:after="80"/>
      </w:pPr>
      <w:r>
        <w:t xml:space="preserve">Escalated — the reporter (or anyone reviewing it) can escalate the report to a specific manager, with a note explaining why; that manager receives a real notification.</w:t>
      </w:r>
    </w:p>
    <w:p>
      <w:pPr>
        <w:pStyle w:val="ListParagraph"/>
        <w:numPr>
          <w:ilvl w:val="0"/>
          <w:numId w:val="2"/>
        </w:numPr>
        <w:spacing w:after="80"/>
      </w:pPr>
      <w:r>
        <w:t xml:space="preserve">Investigating — investigation notes can be added by anyone involved as the situation is looked into.</w:t>
      </w:r>
    </w:p>
    <w:p>
      <w:pPr>
        <w:pStyle w:val="ListParagraph"/>
        <w:numPr>
          <w:ilvl w:val="0"/>
          <w:numId w:val="2"/>
        </w:numPr>
        <w:spacing w:after="80"/>
      </w:pPr>
      <w:r>
        <w:t xml:space="preserve">Resolved — closed out with an outcome note.</w:t>
      </w:r>
    </w:p>
    <w:p>
      <w:pPr>
        <w:pStyle w:val="ListParagraph"/>
        <w:numPr>
          <w:ilvl w:val="0"/>
          <w:numId w:val="2"/>
        </w:numPr>
        <w:spacing w:after="80"/>
      </w:pPr>
      <w:r>
        <w:t xml:space="preserve">Closed — fully closed once any follow-up period has passed.</w:t>
      </w:r>
    </w:p>
    <w:p>
      <w:pPr>
        <w:spacing w:after="160"/>
      </w:pPr>
      <w:r>
        <w:t xml:space="preserve">Every step — opening, escalating, adding a note, resolving, closing — is written to the Audit Log automatically, so there’s a complete, tamper-evident record of how a concern was handled.</w:t>
      </w:r>
    </w:p>
    <w:p>
      <w:pPr>
        <w:pStyle w:val="Heading1"/>
        <w:spacing w:after="200" w:before="400"/>
      </w:pPr>
      <w:r>
        <w:t xml:space="preserve">13. Compliance &amp; Governance</w:t>
      </w:r>
    </w:p>
    <w:p>
      <w:pPr>
        <w:pStyle w:val="Heading2"/>
        <w:spacing w:after="120" w:before="300"/>
      </w:pPr>
      <w:r>
        <w:t xml:space="preserve">Policies</w:t>
      </w:r>
    </w:p>
    <w:p>
      <w:pPr>
        <w:spacing w:after="160"/>
      </w:pPr>
      <w:r>
        <w:t xml:space="preserve">Agency policies (for example a Safeguarding or Medication Administration policy) are published with a version number, an effective date, and a review date, and can be marked as mandatory reading. Staff acknowledge having read a policy, and CareTrust keeps a record of who has and hasn’t for each one.</w:t>
      </w:r>
    </w:p>
    <w:p>
      <w:pPr>
        <w:pStyle w:val="Heading2"/>
        <w:spacing w:after="120" w:before="300"/>
      </w:pPr>
      <w:r>
        <w:t xml:space="preserve">Training</w:t>
      </w:r>
    </w:p>
    <w:p>
      <w:pPr>
        <w:spacing w:after="160"/>
      </w:pPr>
      <w:r>
        <w:t xml:space="preserve">Training modules (for example Safeguarding Awareness, Moving &amp; Handling) track each staff member’s progress — not started, started, or completed — along with a score and completion date once finished.</w:t>
      </w:r>
    </w:p>
    <w:p>
      <w:pPr>
        <w:pStyle w:val="Heading2"/>
        <w:spacing w:after="120" w:before="300"/>
      </w:pPr>
      <w:r>
        <w:t xml:space="preserve">Compliance Dashboard</w:t>
      </w:r>
    </w:p>
    <w:p>
      <w:pPr>
        <w:spacing w:after="160"/>
      </w:pPr>
      <w:r>
        <w:t xml:space="preserve">A checklist of ongoing compliance items for the agency (for example a CQC registration renewal, a fire risk assessment, DBS checks), each with a status — not started, in progress, or complete — and a next-due date, so nothing regulatory quietly slips overdue.</w:t>
      </w:r>
    </w:p>
    <w:p>
      <w:pPr>
        <w:pStyle w:val="Heading2"/>
        <w:spacing w:after="120" w:before="300"/>
      </w:pPr>
      <w:r>
        <w:t xml:space="preserve">Audit Log</w:t>
      </w:r>
    </w:p>
    <w:p>
      <w:pPr>
        <w:spacing w:after="160"/>
      </w:pPr>
      <w:r>
        <w:t xml:space="preserve">A chronological record of significant actions across the system — safeguarding events, and other tracked actions as they occur.</w:t>
      </w:r>
    </w:p>
    <w:p>
      <w:pPr>
        <w:pBdr>
          <w:left w:val="single" w:color="2E6F8E" w:sz="12" w:space="8"/>
        </w:pBdr>
        <w:spacing w:after="200" w:before="100"/>
        <w:ind w:left="200"/>
      </w:pPr>
      <w:r>
        <w:rPr>
          <w:b/>
          <w:bCs/>
          <w:color w:val="2E6F8E"/>
        </w:rPr>
        <w:t xml:space="preserve">Note: </w:t>
      </w:r>
      <w:r>
        <w:rPr>
          <w:i/>
          <w:iCs/>
          <w:color w:val="595959"/>
        </w:rPr>
        <w:t xml:space="preserve">At the time of writing, the Audit Log menu item requires a permission (compliance.manage) that hasn’t been assigned to any role except Super Admin — an Admin or Manager account won’t see it in the sidebar even though the feature itself works. If your Admins and Managers should be able to see the audit trail, this is worth asking to have corrected.</w:t>
      </w:r>
    </w:p>
    <w:p>
      <w:pPr>
        <w:pStyle w:val="Heading2"/>
        <w:spacing w:after="120" w:before="300"/>
      </w:pPr>
      <w:r>
        <w:t xml:space="preserve">Subject Access Requests</w:t>
      </w:r>
    </w:p>
    <w:p>
      <w:pPr>
        <w:spacing w:after="160"/>
      </w:pPr>
      <w:r>
        <w:t xml:space="preserve">Requests from a service user or their family to access, correct, or receive a copy of their data are logged here with a status (pending, in progress, fulfilled) and notes on how they were handled — supporting your agency’s data protection obligations.</w:t>
      </w:r>
    </w:p>
    <w:p>
      <w:pPr>
        <w:pStyle w:val="Heading2"/>
        <w:spacing w:after="120" w:before="300"/>
      </w:pPr>
      <w:r>
        <w:t xml:space="preserve">Data Breaches</w:t>
      </w:r>
    </w:p>
    <w:p>
      <w:pPr>
        <w:spacing w:after="160"/>
      </w:pPr>
      <w:r>
        <w:t xml:space="preserve">A place to log any data protection incident, its severity, what action was taken, and whether it was reported to the ICO (the UK’s data protection regulator).</w:t>
      </w:r>
    </w:p>
    <w:p>
      <w:pPr>
        <w:pStyle w:val="Heading1"/>
        <w:spacing w:after="200" w:before="400"/>
      </w:pPr>
      <w:r>
        <w:t xml:space="preserve">14. Messaging &amp; Notifications</w:t>
      </w:r>
    </w:p>
    <w:p>
      <w:pPr>
        <w:spacing w:after="160"/>
      </w:pPr>
      <w:r>
        <w:t xml:space="preserve">CareTrust has direct messaging between staff — a simple chat drawer for one-to-one conversations — alongside the automatic notifications already mentioned in section 2 (a rota being published, a safeguarding escalation, a new message). Both are reachable from the top bar.</w:t>
      </w:r>
    </w:p>
    <w:p>
      <w:pPr>
        <w:pStyle w:val="Heading1"/>
        <w:spacing w:after="200" w:before="400"/>
      </w:pPr>
      <w:r>
        <w:t xml:space="preserve">15. Staff &amp; Agency Administration</w:t>
      </w:r>
    </w:p>
    <w:p>
      <w:pPr>
        <w:pStyle w:val="Heading2"/>
        <w:spacing w:after="120" w:before="300"/>
      </w:pPr>
      <w:r>
        <w:t xml:space="preserve">Staff Management</w:t>
      </w:r>
    </w:p>
    <w:p>
      <w:pPr>
        <w:spacing w:after="160"/>
      </w:pPr>
      <w:r>
        <w:t xml:space="preserve">Under User Management → Staffs (Admin/Manager only), you can add a new staff member, set their role (Admin, Manager, or Carer), and edit or deactivate existing accounts.</w:t>
      </w:r>
    </w:p>
    <w:p>
      <w:pPr>
        <w:pStyle w:val="Heading2"/>
        <w:spacing w:after="120" w:before="300"/>
      </w:pPr>
      <w:r>
        <w:t xml:space="preserve">Agency Settings</w:t>
      </w:r>
    </w:p>
    <w:p>
      <w:pPr>
        <w:spacing w:after="160"/>
      </w:pPr>
      <w:r>
        <w:t xml:space="preserve">Under User Management → Agencies (Admin/Manager only), you can update the agency’s name, address, and contact details, and choose which day the working week starts on for rota and timesheet purposes.</w:t>
      </w:r>
    </w:p>
    <w:p>
      <w:pPr>
        <w:pStyle w:val="Heading1"/>
        <w:spacing w:after="200" w:before="400"/>
      </w:pPr>
      <w:r>
        <w:t xml:space="preserve">16. Quick Reference for Carers</w:t>
      </w:r>
    </w:p>
    <w:p>
      <w:pPr>
        <w:spacing w:after="160"/>
      </w:pPr>
      <w:r>
        <w:t xml:space="preserve">If you’re a Carer, the parts of this guide that matter to you day to day are:</w:t>
      </w:r>
    </w:p>
    <w:p>
      <w:pPr>
        <w:pStyle w:val="ListParagraph"/>
        <w:numPr>
          <w:ilvl w:val="0"/>
          <w:numId w:val="2"/>
        </w:numPr>
        <w:spacing w:after="80"/>
      </w:pPr>
      <w:r>
        <w:t xml:space="preserve">My Rota (section 9) — your published shifts for the week.</w:t>
      </w:r>
    </w:p>
    <w:p>
      <w:pPr>
        <w:pStyle w:val="ListParagraph"/>
        <w:numPr>
          <w:ilvl w:val="0"/>
          <w:numId w:val="2"/>
        </w:numPr>
        <w:spacing w:after="80"/>
      </w:pPr>
      <w:r>
        <w:t xml:space="preserve">Tasks (section 4) — completing the tasks assigned to you, with a photo or signature where required.</w:t>
      </w:r>
    </w:p>
    <w:p>
      <w:pPr>
        <w:pStyle w:val="ListParagraph"/>
        <w:numPr>
          <w:ilvl w:val="0"/>
          <w:numId w:val="2"/>
        </w:numPr>
        <w:spacing w:after="80"/>
      </w:pPr>
      <w:r>
        <w:t xml:space="preserve">Medications (section 8) — recording what you’ve administered, if medication support is part of your role.</w:t>
      </w:r>
    </w:p>
    <w:p>
      <w:pPr>
        <w:pStyle w:val="ListParagraph"/>
        <w:numPr>
          <w:ilvl w:val="0"/>
          <w:numId w:val="2"/>
        </w:numPr>
        <w:spacing w:after="80"/>
      </w:pPr>
      <w:r>
        <w:t xml:space="preserve">Timesheets (section 10) — filling in and submitting your weekly timesheet.</w:t>
      </w:r>
    </w:p>
    <w:p>
      <w:pPr>
        <w:pStyle w:val="ListParagraph"/>
        <w:numPr>
          <w:ilvl w:val="0"/>
          <w:numId w:val="2"/>
        </w:numPr>
        <w:spacing w:after="80"/>
      </w:pPr>
      <w:r>
        <w:t xml:space="preserve">Safeguarding (section 12) — raising a concern any time you’re worried about a service user’s welfare.</w:t>
      </w:r>
    </w:p>
    <w:p>
      <w:pPr>
        <w:pStyle w:val="ListParagraph"/>
        <w:numPr>
          <w:ilvl w:val="0"/>
          <w:numId w:val="2"/>
        </w:numPr>
        <w:spacing w:after="80"/>
      </w:pPr>
      <w:r>
        <w:t xml:space="preserve">Messages &amp; Notifications (section 14) — staying in touch with your manager and seeing rota/safeguarding alerts.</w:t>
      </w:r>
    </w:p>
    <w:p>
      <w:pPr>
        <w:pStyle w:val="Heading1"/>
        <w:spacing w:after="200" w:before="400"/>
      </w:pPr>
      <w:r>
        <w:t xml:space="preserve">17. Quick Reference for Family Members</w:t>
      </w:r>
    </w:p>
    <w:p>
      <w:pPr>
        <w:spacing w:after="160"/>
      </w:pPr>
      <w:r>
        <w:t xml:space="preserve">If you have a Family account, log in the same way as any other CareTrust user. You’ll land on a dedicated family portal rather than the full staff system, showing only your linked relative’s care plan and the timeline updates staff have chosen to share with family — internal staff notes and other service users’ records are never visible to you.</w:t>
      </w:r>
    </w:p>
    <w:p>
      <w:r>
        <w:br w:type="page"/>
      </w:r>
    </w:p>
    <w:p>
      <w:pPr>
        <w:pStyle w:val="Heading1"/>
        <w:spacing w:after="200" w:before="400"/>
      </w:pPr>
      <w:r>
        <w:t xml:space="preserve">18. Roles &amp; Permissions at a Glance</w:t>
      </w:r>
    </w:p>
    <w:p>
      <w:pPr>
        <w:spacing w:after="160"/>
      </w:pPr>
      <w:r>
        <w:t xml:space="preserve">This is a summary, not an exhaustive permissions list — your agency’s Admin can confirm exactly what your account can do.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900"/>
      </w:tblGrid>
      <w:tr>
        <w:tc>
          <w:tcPr>
            <w:tcW w:type="dxa" w:w="2400"/>
            <w:shd w:fill="1E3A5F" w:val="clear"/>
            <w:tcMar>
              <w:top w:type="dxa" w:w="80"/>
              <w:left w:type="dxa" w:w="100"/>
              <w:bottom w:type="dxa" w:w="80"/>
              <w:right w:type="dxa" w:w="100"/>
            </w:tcMar>
          </w:tcPr>
          <w:p>
            <w:r>
              <w:rPr>
                <w:b/>
                <w:bCs/>
                <w:color w:val="FFFFFF"/>
                <w:sz w:val="20"/>
                <w:szCs w:val="20"/>
              </w:rPr>
              <w:t xml:space="preserve">Area</w:t>
            </w:r>
          </w:p>
        </w:tc>
        <w:tc>
          <w:tcPr>
            <w:tcW w:type="dxa" w:w="1600"/>
            <w:shd w:fill="1E3A5F" w:val="clear"/>
            <w:tcMar>
              <w:top w:type="dxa" w:w="80"/>
              <w:left w:type="dxa" w:w="100"/>
              <w:bottom w:type="dxa" w:w="80"/>
              <w:right w:type="dxa" w:w="100"/>
            </w:tcMar>
          </w:tcPr>
          <w:p>
            <w:r>
              <w:rPr>
                <w:b/>
                <w:bCs/>
                <w:color w:val="FFFFFF"/>
                <w:sz w:val="20"/>
                <w:szCs w:val="20"/>
              </w:rPr>
              <w:t xml:space="preserve">Carer</w:t>
            </w:r>
          </w:p>
        </w:tc>
        <w:tc>
          <w:tcPr>
            <w:tcW w:type="dxa" w:w="1600"/>
            <w:shd w:fill="1E3A5F" w:val="clear"/>
            <w:tcMar>
              <w:top w:type="dxa" w:w="80"/>
              <w:left w:type="dxa" w:w="100"/>
              <w:bottom w:type="dxa" w:w="80"/>
              <w:right w:type="dxa" w:w="100"/>
            </w:tcMar>
          </w:tcPr>
          <w:p>
            <w:r>
              <w:rPr>
                <w:b/>
                <w:bCs/>
                <w:color w:val="FFFFFF"/>
                <w:sz w:val="20"/>
                <w:szCs w:val="20"/>
              </w:rPr>
              <w:t xml:space="preserve">Manager</w:t>
            </w:r>
          </w:p>
        </w:tc>
        <w:tc>
          <w:tcPr>
            <w:tcW w:type="dxa" w:w="1600"/>
            <w:shd w:fill="1E3A5F" w:val="clear"/>
            <w:tcMar>
              <w:top w:type="dxa" w:w="80"/>
              <w:left w:type="dxa" w:w="100"/>
              <w:bottom w:type="dxa" w:w="80"/>
              <w:right w:type="dxa" w:w="100"/>
            </w:tcMar>
          </w:tcPr>
          <w:p>
            <w:r>
              <w:rPr>
                <w:b/>
                <w:bCs/>
                <w:color w:val="FFFFFF"/>
                <w:sz w:val="20"/>
                <w:szCs w:val="20"/>
              </w:rPr>
              <w:t xml:space="preserve">Admin</w:t>
            </w:r>
          </w:p>
        </w:tc>
        <w:tc>
          <w:tcPr>
            <w:tcW w:type="dxa" w:w="1900"/>
            <w:shd w:fill="1E3A5F" w:val="clear"/>
            <w:tcMar>
              <w:top w:type="dxa" w:w="80"/>
              <w:left w:type="dxa" w:w="100"/>
              <w:bottom w:type="dxa" w:w="80"/>
              <w:right w:type="dxa" w:w="100"/>
            </w:tcMar>
          </w:tcPr>
          <w:p>
            <w:r>
              <w:rPr>
                <w:b/>
                <w:bCs/>
                <w:color w:val="FFFFFF"/>
                <w:sz w:val="20"/>
                <w:szCs w:val="20"/>
              </w:rPr>
              <w:t xml:space="preserve">Super Admin</w:t>
            </w:r>
          </w:p>
        </w:tc>
      </w:tr>
      <w:tr>
        <w:tc>
          <w:tcPr>
            <w:tcW w:type="dxa" w:w="2400"/>
            <w:tcMar>
              <w:top w:type="dxa" w:w="80"/>
              <w:left w:type="dxa" w:w="100"/>
              <w:bottom w:type="dxa" w:w="80"/>
              <w:right w:type="dxa" w:w="100"/>
            </w:tcMar>
          </w:tcPr>
          <w:p>
            <w:r>
              <w:rPr>
                <w:b w:val="false"/>
                <w:bCs w:val="false"/>
                <w:sz w:val="20"/>
                <w:szCs w:val="20"/>
              </w:rPr>
              <w:t xml:space="preserve">Own rota, tasks, timesheet, medication recording</w:t>
            </w:r>
          </w:p>
        </w:tc>
        <w:tc>
          <w:tcPr>
            <w:tcW w:type="dxa" w:w="1600"/>
            <w:tcMar>
              <w:top w:type="dxa" w:w="80"/>
              <w:left w:type="dxa" w:w="100"/>
              <w:bottom w:type="dxa" w:w="80"/>
              <w:right w:type="dxa" w:w="100"/>
            </w:tcMar>
          </w:tcPr>
          <w:p>
            <w:r>
              <w:rPr>
                <w:b w:val="false"/>
                <w:bCs w:val="false"/>
                <w:sz w:val="20"/>
                <w:szCs w:val="20"/>
              </w:rPr>
              <w:t xml:space="preserve">Yes</w:t>
            </w:r>
          </w:p>
        </w:tc>
        <w:tc>
          <w:tcPr>
            <w:tcW w:type="dxa" w:w="1600"/>
            <w:tcMar>
              <w:top w:type="dxa" w:w="80"/>
              <w:left w:type="dxa" w:w="100"/>
              <w:bottom w:type="dxa" w:w="80"/>
              <w:right w:type="dxa" w:w="100"/>
            </w:tcMar>
          </w:tcPr>
          <w:p>
            <w:r>
              <w:rPr>
                <w:b w:val="false"/>
                <w:bCs w:val="false"/>
                <w:sz w:val="20"/>
                <w:szCs w:val="20"/>
              </w:rPr>
              <w:t xml:space="preserve">Yes</w:t>
            </w:r>
          </w:p>
        </w:tc>
        <w:tc>
          <w:tcPr>
            <w:tcW w:type="dxa" w:w="16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2400"/>
            <w:tcMar>
              <w:top w:type="dxa" w:w="80"/>
              <w:left w:type="dxa" w:w="100"/>
              <w:bottom w:type="dxa" w:w="80"/>
              <w:right w:type="dxa" w:w="100"/>
            </w:tcMar>
          </w:tcPr>
          <w:p>
            <w:r>
              <w:rPr>
                <w:b w:val="false"/>
                <w:bCs w:val="false"/>
                <w:sz w:val="20"/>
                <w:szCs w:val="20"/>
              </w:rPr>
              <w:t xml:space="preserve">Build/publish rota, approve timesheets &amp; payroll</w:t>
            </w:r>
          </w:p>
        </w:tc>
        <w:tc>
          <w:tcPr>
            <w:tcW w:type="dxa" w:w="1600"/>
            <w:tcMar>
              <w:top w:type="dxa" w:w="80"/>
              <w:left w:type="dxa" w:w="100"/>
              <w:bottom w:type="dxa" w:w="80"/>
              <w:right w:type="dxa" w:w="100"/>
            </w:tcMar>
          </w:tcPr>
          <w:p>
            <w:r>
              <w:rPr>
                <w:b w:val="false"/>
                <w:bCs w:val="false"/>
                <w:sz w:val="20"/>
                <w:szCs w:val="20"/>
              </w:rPr>
              <w:t xml:space="preserve">No</w:t>
            </w:r>
          </w:p>
        </w:tc>
        <w:tc>
          <w:tcPr>
            <w:tcW w:type="dxa" w:w="1600"/>
            <w:tcMar>
              <w:top w:type="dxa" w:w="80"/>
              <w:left w:type="dxa" w:w="100"/>
              <w:bottom w:type="dxa" w:w="80"/>
              <w:right w:type="dxa" w:w="100"/>
            </w:tcMar>
          </w:tcPr>
          <w:p>
            <w:r>
              <w:rPr>
                <w:b w:val="false"/>
                <w:bCs w:val="false"/>
                <w:sz w:val="20"/>
                <w:szCs w:val="20"/>
              </w:rPr>
              <w:t xml:space="preserve">Yes</w:t>
            </w:r>
          </w:p>
        </w:tc>
        <w:tc>
          <w:tcPr>
            <w:tcW w:type="dxa" w:w="16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2400"/>
            <w:tcMar>
              <w:top w:type="dxa" w:w="80"/>
              <w:left w:type="dxa" w:w="100"/>
              <w:bottom w:type="dxa" w:w="80"/>
              <w:right w:type="dxa" w:w="100"/>
            </w:tcMar>
          </w:tcPr>
          <w:p>
            <w:r>
              <w:rPr>
                <w:b w:val="false"/>
                <w:bCs w:val="false"/>
                <w:sz w:val="20"/>
                <w:szCs w:val="20"/>
              </w:rPr>
              <w:t xml:space="preserve">Service users, care plans, assessments, consents</w:t>
            </w:r>
          </w:p>
        </w:tc>
        <w:tc>
          <w:tcPr>
            <w:tcW w:type="dxa" w:w="1600"/>
            <w:tcMar>
              <w:top w:type="dxa" w:w="80"/>
              <w:left w:type="dxa" w:w="100"/>
              <w:bottom w:type="dxa" w:w="80"/>
              <w:right w:type="dxa" w:w="100"/>
            </w:tcMar>
          </w:tcPr>
          <w:p>
            <w:r>
              <w:rPr>
                <w:b w:val="false"/>
                <w:bCs w:val="false"/>
                <w:sz w:val="20"/>
                <w:szCs w:val="20"/>
              </w:rPr>
              <w:t xml:space="preserve">View/complete tasks only</w:t>
            </w:r>
          </w:p>
        </w:tc>
        <w:tc>
          <w:tcPr>
            <w:tcW w:type="dxa" w:w="1600"/>
            <w:tcMar>
              <w:top w:type="dxa" w:w="80"/>
              <w:left w:type="dxa" w:w="100"/>
              <w:bottom w:type="dxa" w:w="80"/>
              <w:right w:type="dxa" w:w="100"/>
            </w:tcMar>
          </w:tcPr>
          <w:p>
            <w:r>
              <w:rPr>
                <w:b w:val="false"/>
                <w:bCs w:val="false"/>
                <w:sz w:val="20"/>
                <w:szCs w:val="20"/>
              </w:rPr>
              <w:t xml:space="preserve">Yes</w:t>
            </w:r>
          </w:p>
        </w:tc>
        <w:tc>
          <w:tcPr>
            <w:tcW w:type="dxa" w:w="16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2400"/>
            <w:tcMar>
              <w:top w:type="dxa" w:w="80"/>
              <w:left w:type="dxa" w:w="100"/>
              <w:bottom w:type="dxa" w:w="80"/>
              <w:right w:type="dxa" w:w="100"/>
            </w:tcMar>
          </w:tcPr>
          <w:p>
            <w:r>
              <w:rPr>
                <w:b w:val="false"/>
                <w:bCs w:val="false"/>
                <w:sz w:val="20"/>
                <w:szCs w:val="20"/>
              </w:rPr>
              <w:t xml:space="preserve">Staff management &amp; agency settings</w:t>
            </w:r>
          </w:p>
        </w:tc>
        <w:tc>
          <w:tcPr>
            <w:tcW w:type="dxa" w:w="1600"/>
            <w:tcMar>
              <w:top w:type="dxa" w:w="80"/>
              <w:left w:type="dxa" w:w="100"/>
              <w:bottom w:type="dxa" w:w="80"/>
              <w:right w:type="dxa" w:w="100"/>
            </w:tcMar>
          </w:tcPr>
          <w:p>
            <w:r>
              <w:rPr>
                <w:b w:val="false"/>
                <w:bCs w:val="false"/>
                <w:sz w:val="20"/>
                <w:szCs w:val="20"/>
              </w:rPr>
              <w:t xml:space="preserve">No</w:t>
            </w:r>
          </w:p>
        </w:tc>
        <w:tc>
          <w:tcPr>
            <w:tcW w:type="dxa" w:w="1600"/>
            <w:tcMar>
              <w:top w:type="dxa" w:w="80"/>
              <w:left w:type="dxa" w:w="100"/>
              <w:bottom w:type="dxa" w:w="80"/>
              <w:right w:type="dxa" w:w="100"/>
            </w:tcMar>
          </w:tcPr>
          <w:p>
            <w:r>
              <w:rPr>
                <w:b w:val="false"/>
                <w:bCs w:val="false"/>
                <w:sz w:val="20"/>
                <w:szCs w:val="20"/>
              </w:rPr>
              <w:t xml:space="preserve">Yes</w:t>
            </w:r>
          </w:p>
        </w:tc>
        <w:tc>
          <w:tcPr>
            <w:tcW w:type="dxa" w:w="16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2400"/>
            <w:tcMar>
              <w:top w:type="dxa" w:w="80"/>
              <w:left w:type="dxa" w:w="100"/>
              <w:bottom w:type="dxa" w:w="80"/>
              <w:right w:type="dxa" w:w="100"/>
            </w:tcMar>
          </w:tcPr>
          <w:p>
            <w:r>
              <w:rPr>
                <w:b w:val="false"/>
                <w:bCs w:val="false"/>
                <w:sz w:val="20"/>
                <w:szCs w:val="20"/>
              </w:rPr>
              <w:t xml:space="preserve">Roles &amp; permissions administration</w:t>
            </w:r>
          </w:p>
        </w:tc>
        <w:tc>
          <w:tcPr>
            <w:tcW w:type="dxa" w:w="1600"/>
            <w:tcMar>
              <w:top w:type="dxa" w:w="80"/>
              <w:left w:type="dxa" w:w="100"/>
              <w:bottom w:type="dxa" w:w="80"/>
              <w:right w:type="dxa" w:w="100"/>
            </w:tcMar>
          </w:tcPr>
          <w:p>
            <w:r>
              <w:rPr>
                <w:b w:val="false"/>
                <w:bCs w:val="false"/>
                <w:sz w:val="20"/>
                <w:szCs w:val="20"/>
              </w:rPr>
              <w:t xml:space="preserve">No</w:t>
            </w:r>
          </w:p>
        </w:tc>
        <w:tc>
          <w:tcPr>
            <w:tcW w:type="dxa" w:w="1600"/>
            <w:tcMar>
              <w:top w:type="dxa" w:w="80"/>
              <w:left w:type="dxa" w:w="100"/>
              <w:bottom w:type="dxa" w:w="80"/>
              <w:right w:type="dxa" w:w="100"/>
            </w:tcMar>
          </w:tcPr>
          <w:p>
            <w:r>
              <w:rPr>
                <w:b w:val="false"/>
                <w:bCs w:val="false"/>
                <w:sz w:val="20"/>
                <w:szCs w:val="20"/>
              </w:rPr>
              <w:t xml:space="preserve">No</w:t>
            </w:r>
          </w:p>
        </w:tc>
        <w:tc>
          <w:tcPr>
            <w:tcW w:type="dxa" w:w="1600"/>
            <w:tcMar>
              <w:top w:type="dxa" w:w="80"/>
              <w:left w:type="dxa" w:w="100"/>
              <w:bottom w:type="dxa" w:w="80"/>
              <w:right w:type="dxa" w:w="100"/>
            </w:tcMar>
          </w:tcPr>
          <w:p>
            <w:r>
              <w:rPr>
                <w:b w:val="false"/>
                <w:bCs w:val="false"/>
                <w:sz w:val="20"/>
                <w:szCs w:val="20"/>
              </w:rPr>
              <w:t xml:space="preserve">No</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2400"/>
            <w:tcMar>
              <w:top w:type="dxa" w:w="80"/>
              <w:left w:type="dxa" w:w="100"/>
              <w:bottom w:type="dxa" w:w="80"/>
              <w:right w:type="dxa" w:w="100"/>
            </w:tcMar>
          </w:tcPr>
          <w:p>
            <w:r>
              <w:rPr>
                <w:b w:val="false"/>
                <w:bCs w:val="false"/>
                <w:sz w:val="20"/>
                <w:szCs w:val="20"/>
              </w:rPr>
              <w:t xml:space="preserve">Policies, training, compliance, data protection</w:t>
            </w:r>
          </w:p>
        </w:tc>
        <w:tc>
          <w:tcPr>
            <w:tcW w:type="dxa" w:w="1600"/>
            <w:tcMar>
              <w:top w:type="dxa" w:w="80"/>
              <w:left w:type="dxa" w:w="100"/>
              <w:bottom w:type="dxa" w:w="80"/>
              <w:right w:type="dxa" w:w="100"/>
            </w:tcMar>
          </w:tcPr>
          <w:p>
            <w:r>
              <w:rPr>
                <w:b w:val="false"/>
                <w:bCs w:val="false"/>
                <w:sz w:val="20"/>
                <w:szCs w:val="20"/>
              </w:rPr>
              <w:t xml:space="preserve">View/acknowledge</w:t>
            </w:r>
          </w:p>
        </w:tc>
        <w:tc>
          <w:tcPr>
            <w:tcW w:type="dxa" w:w="1600"/>
            <w:tcMar>
              <w:top w:type="dxa" w:w="80"/>
              <w:left w:type="dxa" w:w="100"/>
              <w:bottom w:type="dxa" w:w="80"/>
              <w:right w:type="dxa" w:w="100"/>
            </w:tcMar>
          </w:tcPr>
          <w:p>
            <w:r>
              <w:rPr>
                <w:b w:val="false"/>
                <w:bCs w:val="false"/>
                <w:sz w:val="20"/>
                <w:szCs w:val="20"/>
              </w:rPr>
              <w:t xml:space="preserve">Yes</w:t>
            </w:r>
          </w:p>
        </w:tc>
        <w:tc>
          <w:tcPr>
            <w:tcW w:type="dxa" w:w="16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bl>
    <w:p>
      <w:pPr>
        <w:pStyle w:val="Heading1"/>
        <w:spacing w:after="200" w:before="400"/>
      </w:pPr>
      <w:r>
        <w:t xml:space="preserve">19. Status Reference</w:t>
      </w:r>
    </w:p>
    <w:p>
      <w:pPr>
        <w:pStyle w:val="Heading2"/>
        <w:spacing w:after="120" w:before="300"/>
      </w:pPr>
      <w:r>
        <w:t xml:space="preserve">Task</w:t>
      </w:r>
    </w:p>
    <w:p>
      <w:pPr>
        <w:spacing w:after="160"/>
      </w:pPr>
      <w:r>
        <w:t xml:space="preserve">Pending → Completed, Refused, or Skipped (an overdue task is simply a pending task past its due time).</w:t>
      </w:r>
    </w:p>
    <w:p>
      <w:pPr>
        <w:pStyle w:val="Heading2"/>
        <w:spacing w:after="120" w:before="300"/>
      </w:pPr>
      <w:r>
        <w:t xml:space="preserve">Timesheet</w:t>
      </w:r>
    </w:p>
    <w:p>
      <w:pPr>
        <w:spacing w:after="160"/>
      </w:pPr>
      <w:r>
        <w:t xml:space="preserve">Draft → Submitted → Approved (or Rejected, which returns it to the carer) → Paid.</w:t>
      </w:r>
    </w:p>
    <w:p>
      <w:pPr>
        <w:pStyle w:val="Heading2"/>
        <w:spacing w:after="120" w:before="300"/>
      </w:pPr>
      <w:r>
        <w:t xml:space="preserve">Payroll run / Payslip</w:t>
      </w:r>
    </w:p>
    <w:p>
      <w:pPr>
        <w:spacing w:after="160"/>
      </w:pPr>
      <w:r>
        <w:t xml:space="preserve">Draft → Approved → Paid.</w:t>
      </w:r>
    </w:p>
    <w:p>
      <w:pPr>
        <w:pStyle w:val="Heading2"/>
        <w:spacing w:after="120" w:before="300"/>
      </w:pPr>
      <w:r>
        <w:t xml:space="preserve">Safeguarding report</w:t>
      </w:r>
    </w:p>
    <w:p>
      <w:pPr>
        <w:spacing w:after="160"/>
      </w:pPr>
      <w:r>
        <w:t xml:space="preserve">Open → Investigating (optionally Escalated to a manager along the way) → Resolved → Closed.</w:t>
      </w:r>
    </w:p>
    <w:p>
      <w:pPr>
        <w:pStyle w:val="Heading2"/>
        <w:spacing w:after="120" w:before="300"/>
      </w:pPr>
      <w:r>
        <w:t xml:space="preserve">Consent</w:t>
      </w:r>
    </w:p>
    <w:p>
      <w:pPr>
        <w:spacing w:after="160"/>
      </w:pPr>
      <w:r>
        <w:t xml:space="preserve">Granted, and remains valid until it’s revoked or reaches its expiry date, if one is set.</w:t>
      </w:r>
    </w:p>
    <w:p>
      <w:pPr>
        <w:pStyle w:val="Heading2"/>
        <w:spacing w:after="120" w:before="300"/>
      </w:pPr>
      <w:r>
        <w:t xml:space="preserve">Subject Access Request</w:t>
      </w:r>
    </w:p>
    <w:p>
      <w:pPr>
        <w:spacing w:after="160"/>
      </w:pPr>
      <w:r>
        <w:t xml:space="preserve">Pending → In Progress → Fulfilled.</w:t>
      </w:r>
    </w:p>
    <w:p>
      <w:pPr>
        <w:pStyle w:val="Heading1"/>
        <w:spacing w:after="200" w:before="400"/>
      </w:pPr>
      <w:r>
        <w:t xml:space="preserve">20. Appendix: Trying CareTrust with Sample Data</w:t>
      </w:r>
    </w:p>
    <w:p>
      <w:pPr>
        <w:spacing w:after="160"/>
      </w:pPr>
      <w:r>
        <w:t xml:space="preserve">If you want to explore the system without using real service user data, the project includes DEMO_DATA_GUIDE.md, which seeds a sample agency with realistic records at every stage described in this guide — draft and published rotas, timesheets and payroll at each step, a safeguarding report at every stage of its lifecycle, and so on — along with login details for a full set of sample accounts across every role. Ask whoever manages your CareTrust installation to run it if you’d like a populated environment to practice in.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E3A5F"/>
      <w:sz w:val="64"/>
      <w:szCs w:val="64"/>
    </w:rPr>
  </w:style>
  <w:style w:type="paragraph" w:styleId="Heading1">
    <w:name w:val="Heading 1"/>
    <w:basedOn w:val="Normal"/>
    <w:next w:val="Normal"/>
    <w:qFormat/>
    <w:pPr>
      <w:spacing w:after="200" w:before="400"/>
      <w:outlineLvl w:val="0"/>
    </w:pPr>
    <w:rPr>
      <w:b/>
      <w:bCs/>
      <w:color w:val="1E3A5F"/>
      <w:sz w:val="30"/>
      <w:szCs w:val="30"/>
    </w:rPr>
  </w:style>
  <w:style w:type="paragraph" w:styleId="Heading2">
    <w:name w:val="Heading 2"/>
    <w:basedOn w:val="Normal"/>
    <w:next w:val="Normal"/>
    <w:qFormat/>
    <w:pPr>
      <w:spacing w:after="120" w:before="300"/>
      <w:outlineLvl w:val="1"/>
    </w:pPr>
    <w:rPr>
      <w:b/>
      <w:bCs/>
      <w:color w:val="2E6F8E"/>
      <w:sz w:val="25"/>
      <w:szCs w:val="25"/>
    </w:rPr>
  </w:style>
  <w:style w:type="paragraph" w:styleId="Heading3">
    <w:name w:val="Heading 3"/>
    <w:basedOn w:val="Normal"/>
    <w:next w:val="Normal"/>
    <w:qFormat/>
    <w:pPr>
      <w:spacing w:after="100" w:before="200"/>
      <w:outlineLvl w:val="2"/>
    </w:pPr>
    <w:rPr>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2026-08-31T17:12:27.180Z</dcterms:created>
  <dcterms:modified xsi:type="dcterms:W3CDTF">2026-08-31T17:12:27.180Z</dcterms:modified>
</cp:coreProperties>
</file>

<file path=docProps/custom.xml><?xml version="1.0" encoding="utf-8"?>
<Properties xmlns="http://schemas.openxmlformats.org/officeDocument/2006/custom-properties" xmlns:vt="http://schemas.openxmlformats.org/officeDocument/2006/docPropsVTypes"/>
</file>