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51CB" w:rsidRPr="00D924EB" w:rsidRDefault="00D924EB" w:rsidP="00D924EB">
      <w:r>
        <w:rPr>
          <w:rFonts w:ascii="Segoe UI" w:hAnsi="Segoe UI" w:cs="Segoe UI"/>
          <w:sz w:val="21"/>
          <w:szCs w:val="21"/>
          <w:shd w:val="clear" w:color="auto" w:fill="FFFFFF"/>
        </w:rPr>
        <w:t>Credit Risk Assessment has become pivotal among financial institutions to avoid financial risk and reduce the count of defaulters globally. I used Statistical software JMP to predict the Data.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Data Mining Models used to predict the Data Set are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Model 1: Decision Tree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Model 2: Boosted Tree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Model 3: K-Nearest Neighbor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Model 4: Fit Nominal Logistics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Model 5 Neural Networks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Model 6: Bootstrap Forest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Conclusion - The bootstrap forest marginally outperformed other models in terms of misclassification rate, RMSE, R square and overfitting criterion. Also, the model was tuned so that it can classify type 2 errors more efficiently with an overall accuracy of 71%.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I can conclude that thus Taiwanese financial institutions can use the Bootstrap forest model to reduce credit risk in there by safeguarding their organizations from potential risks</w:t>
      </w:r>
      <w:bookmarkStart w:id="0" w:name="_GoBack"/>
      <w:bookmarkEnd w:id="0"/>
    </w:p>
    <w:sectPr w:rsidR="00FC51CB" w:rsidRPr="00D924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154B"/>
    <w:rsid w:val="0005154B"/>
    <w:rsid w:val="0007229A"/>
    <w:rsid w:val="00A9616D"/>
    <w:rsid w:val="00D924EB"/>
    <w:rsid w:val="00EB2DF6"/>
    <w:rsid w:val="00FC5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F7EAD"/>
  <w15:chartTrackingRefBased/>
  <w15:docId w15:val="{7C930CE0-8A9F-462A-92BC-29D7DEE89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Kedar Patil</dc:creator>
  <cp:keywords/>
  <dc:description/>
  <cp:lastModifiedBy>Kedar Patil</cp:lastModifiedBy>
  <cp:revision>5</cp:revision>
  <dcterms:created xsi:type="dcterms:W3CDTF">2020-09-26T20:45:00Z</dcterms:created>
  <dcterms:modified xsi:type="dcterms:W3CDTF">2020-09-26T21:04:00Z</dcterms:modified>
</cp:coreProperties>
</file>